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506" w:rsidRPr="00D30506" w:rsidRDefault="00D30506" w:rsidP="00D30506">
      <w:pPr>
        <w:jc w:val="right"/>
        <w:rPr>
          <w:b/>
          <w:sz w:val="32"/>
          <w:szCs w:val="32"/>
        </w:rPr>
      </w:pPr>
      <w:r w:rsidRPr="00D30506">
        <w:rPr>
          <w:b/>
          <w:sz w:val="32"/>
          <w:szCs w:val="32"/>
        </w:rPr>
        <w:t>Analysis Summary for Project Kickstarter</w:t>
      </w:r>
    </w:p>
    <w:p w:rsidR="00D30506" w:rsidRPr="00D30506" w:rsidRDefault="00D30506" w:rsidP="00D30506">
      <w:pPr>
        <w:jc w:val="right"/>
        <w:rPr>
          <w:i/>
        </w:rPr>
      </w:pPr>
      <w:r w:rsidRPr="00D30506">
        <w:rPr>
          <w:i/>
        </w:rPr>
        <w:t>24 February 2019</w:t>
      </w:r>
    </w:p>
    <w:p w:rsidR="00D30506" w:rsidRPr="00D30506" w:rsidRDefault="00D30506" w:rsidP="00D30506">
      <w:pPr>
        <w:pBdr>
          <w:bottom w:val="thickThinSmallGap" w:sz="24" w:space="1" w:color="0070C0"/>
        </w:pBdr>
        <w:jc w:val="right"/>
        <w:rPr>
          <w:i/>
        </w:rPr>
      </w:pPr>
      <w:r w:rsidRPr="00D30506">
        <w:rPr>
          <w:i/>
        </w:rPr>
        <w:t>Prepared by Lorie Grant</w:t>
      </w:r>
    </w:p>
    <w:p w:rsidR="0026362A" w:rsidRDefault="0026362A">
      <w:pPr>
        <w:rPr>
          <w:b/>
        </w:rPr>
        <w:sectPr w:rsidR="0026362A" w:rsidSect="00D3050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26DE9" w:rsidRDefault="00AA5DFE" w:rsidP="00AA5DFE">
      <w:r w:rsidRPr="006E5F1D">
        <w:rPr>
          <w:rStyle w:val="Heading1Char"/>
        </w:rPr>
        <w:t>Background:</w:t>
      </w:r>
      <w:r>
        <w:t xml:space="preserve"> </w:t>
      </w:r>
    </w:p>
    <w:p w:rsidR="00AA5DFE" w:rsidRDefault="00AA5DFE" w:rsidP="00AA5DFE">
      <w:r w:rsidRPr="00D30506">
        <w:t>Over two billion dollars have been raised using the massively successfu</w:t>
      </w:r>
      <w:r>
        <w:t xml:space="preserve">l </w:t>
      </w:r>
      <w:r w:rsidRPr="00D30506">
        <w:t>crowdfunding service, Kickstarter, but not every project has found success. Of the over 300,000 projects launched on Kickstarter, only third have made it through the funding process with a positive outcom</w:t>
      </w:r>
      <w:r>
        <w:t>e.    Analysis is needed to determine factors which result in a successful project.</w:t>
      </w:r>
    </w:p>
    <w:p w:rsidR="00DA23E4" w:rsidRDefault="00A02B40" w:rsidP="00A02B40">
      <w:pPr>
        <w:pStyle w:val="Heading1"/>
      </w:pPr>
      <w:r>
        <w:t>Data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D2318" w:rsidTr="002D1506">
        <w:tc>
          <w:tcPr>
            <w:tcW w:w="5395" w:type="dxa"/>
          </w:tcPr>
          <w:p w:rsidR="00D566BE" w:rsidRDefault="00DD2318" w:rsidP="002D1506">
            <w:r w:rsidRPr="00A35434">
              <w:rPr>
                <w:b/>
              </w:rPr>
              <w:t>Summary of Data Set:</w:t>
            </w:r>
            <w:r>
              <w:t xml:space="preserve">   </w:t>
            </w:r>
          </w:p>
          <w:p w:rsidR="00D566BE" w:rsidRPr="00D566BE" w:rsidRDefault="00DD2318" w:rsidP="00D566B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566BE">
              <w:rPr>
                <w:sz w:val="20"/>
                <w:szCs w:val="20"/>
              </w:rPr>
              <w:t>4,114 project</w:t>
            </w:r>
            <w:r w:rsidR="00D566BE" w:rsidRPr="00D566BE">
              <w:rPr>
                <w:sz w:val="20"/>
                <w:szCs w:val="20"/>
              </w:rPr>
              <w:t>s</w:t>
            </w:r>
            <w:r w:rsidRPr="00D566BE">
              <w:rPr>
                <w:sz w:val="20"/>
                <w:szCs w:val="20"/>
              </w:rPr>
              <w:t xml:space="preserve"> </w:t>
            </w:r>
          </w:p>
          <w:p w:rsidR="00D566BE" w:rsidRPr="00D566BE" w:rsidRDefault="00DD2318" w:rsidP="00D566B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566BE">
              <w:rPr>
                <w:sz w:val="20"/>
                <w:szCs w:val="20"/>
              </w:rPr>
              <w:t xml:space="preserve">21 countries </w:t>
            </w:r>
          </w:p>
          <w:p w:rsidR="00DD2318" w:rsidRPr="00506894" w:rsidRDefault="00506894" w:rsidP="00D566BE">
            <w:pPr>
              <w:pStyle w:val="ListParagraph"/>
              <w:numPr>
                <w:ilvl w:val="0"/>
                <w:numId w:val="8"/>
              </w:numPr>
            </w:pPr>
            <w:r>
              <w:rPr>
                <w:sz w:val="20"/>
                <w:szCs w:val="20"/>
              </w:rPr>
              <w:t>P</w:t>
            </w:r>
            <w:r w:rsidR="00DD2318" w:rsidRPr="00D566BE">
              <w:rPr>
                <w:sz w:val="20"/>
                <w:szCs w:val="20"/>
              </w:rPr>
              <w:t xml:space="preserve">eriod of 11 years (2009 – 2017) </w:t>
            </w:r>
          </w:p>
          <w:p w:rsidR="00506894" w:rsidRDefault="00506894" w:rsidP="00D566BE">
            <w:pPr>
              <w:pStyle w:val="ListParagraph"/>
              <w:numPr>
                <w:ilvl w:val="0"/>
                <w:numId w:val="8"/>
              </w:numPr>
            </w:pPr>
            <w:r>
              <w:t>41 category and subcategory combinations exist</w:t>
            </w:r>
          </w:p>
          <w:p w:rsidR="00DD2318" w:rsidRDefault="00DD2318" w:rsidP="002D1506">
            <w:pPr>
              <w:rPr>
                <w:b/>
              </w:rPr>
            </w:pPr>
          </w:p>
        </w:tc>
        <w:tc>
          <w:tcPr>
            <w:tcW w:w="5395" w:type="dxa"/>
          </w:tcPr>
          <w:p w:rsidR="00DD2318" w:rsidRDefault="00DD2318" w:rsidP="002D1506">
            <w:pPr>
              <w:rPr>
                <w:b/>
              </w:rPr>
            </w:pPr>
            <w:r>
              <w:rPr>
                <w:b/>
              </w:rPr>
              <w:t>Limitations of Dataset:</w:t>
            </w:r>
          </w:p>
          <w:p w:rsidR="00DD2318" w:rsidRPr="00AA5DFE" w:rsidRDefault="00DD2318" w:rsidP="002D150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A5DFE">
              <w:rPr>
                <w:sz w:val="20"/>
                <w:szCs w:val="20"/>
              </w:rPr>
              <w:t>Data is not clean</w:t>
            </w:r>
            <w:r w:rsidR="00D566BE">
              <w:rPr>
                <w:sz w:val="20"/>
                <w:szCs w:val="20"/>
              </w:rPr>
              <w:t>.   (B</w:t>
            </w:r>
            <w:r w:rsidRPr="00AA5DFE">
              <w:rPr>
                <w:sz w:val="20"/>
                <w:szCs w:val="20"/>
              </w:rPr>
              <w:t>asic formatting commands are not allowing numeric values to be used in the Data Analysis Tool.</w:t>
            </w:r>
            <w:r w:rsidR="00D566BE">
              <w:rPr>
                <w:sz w:val="20"/>
                <w:szCs w:val="20"/>
              </w:rPr>
              <w:t>)</w:t>
            </w:r>
          </w:p>
          <w:p w:rsidR="00DD2318" w:rsidRPr="00AA5DFE" w:rsidRDefault="00DD2318" w:rsidP="002D150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A5DFE">
              <w:rPr>
                <w:sz w:val="20"/>
                <w:szCs w:val="20"/>
              </w:rPr>
              <w:t xml:space="preserve">Data </w:t>
            </w:r>
            <w:r w:rsidR="00D566BE">
              <w:rPr>
                <w:sz w:val="20"/>
                <w:szCs w:val="20"/>
              </w:rPr>
              <w:t>should be normalized</w:t>
            </w:r>
            <w:r w:rsidRPr="00AA5DFE">
              <w:rPr>
                <w:sz w:val="20"/>
                <w:szCs w:val="20"/>
              </w:rPr>
              <w:t xml:space="preserve"> across currency</w:t>
            </w:r>
            <w:r w:rsidR="00D566BE">
              <w:rPr>
                <w:sz w:val="20"/>
                <w:szCs w:val="20"/>
              </w:rPr>
              <w:t xml:space="preserve"> </w:t>
            </w:r>
            <w:proofErr w:type="gramStart"/>
            <w:r w:rsidR="00D566BE">
              <w:rPr>
                <w:sz w:val="20"/>
                <w:szCs w:val="20"/>
              </w:rPr>
              <w:t>in order</w:t>
            </w:r>
            <w:r w:rsidRPr="00AA5DFE">
              <w:rPr>
                <w:sz w:val="20"/>
                <w:szCs w:val="20"/>
              </w:rPr>
              <w:t xml:space="preserve"> to</w:t>
            </w:r>
            <w:proofErr w:type="gramEnd"/>
            <w:r w:rsidRPr="00AA5DFE">
              <w:rPr>
                <w:sz w:val="20"/>
                <w:szCs w:val="20"/>
              </w:rPr>
              <w:t xml:space="preserve"> compare total spend across projects.</w:t>
            </w:r>
          </w:p>
          <w:p w:rsidR="00B153F8" w:rsidRPr="00B153F8" w:rsidRDefault="00DD2318" w:rsidP="00B153F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A5DFE">
              <w:rPr>
                <w:sz w:val="20"/>
                <w:szCs w:val="20"/>
              </w:rPr>
              <w:t xml:space="preserve">Definitions </w:t>
            </w:r>
            <w:r>
              <w:rPr>
                <w:sz w:val="20"/>
                <w:szCs w:val="20"/>
              </w:rPr>
              <w:t xml:space="preserve">of data </w:t>
            </w:r>
            <w:r w:rsidRPr="00AA5DFE">
              <w:rPr>
                <w:sz w:val="20"/>
                <w:szCs w:val="20"/>
              </w:rPr>
              <w:t>are not understood.   For example, Spotlight and the relationship between launched and deadline.</w:t>
            </w:r>
          </w:p>
          <w:p w:rsidR="00DD2318" w:rsidRDefault="00DD2318" w:rsidP="002D1506">
            <w:pPr>
              <w:rPr>
                <w:b/>
              </w:rPr>
            </w:pPr>
          </w:p>
        </w:tc>
      </w:tr>
    </w:tbl>
    <w:p w:rsidR="00DD2318" w:rsidRDefault="00DD2318">
      <w:pPr>
        <w:rPr>
          <w:b/>
        </w:rPr>
        <w:sectPr w:rsidR="00DD2318" w:rsidSect="00DA23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D2318" w:rsidRDefault="00DD2318">
      <w:pPr>
        <w:rPr>
          <w:b/>
        </w:rPr>
      </w:pPr>
      <w:r>
        <w:rPr>
          <w:b/>
        </w:rPr>
        <w:br w:type="page"/>
      </w:r>
    </w:p>
    <w:p w:rsidR="0045477A" w:rsidRPr="00AC36BC" w:rsidRDefault="0045477A" w:rsidP="00A26DE9">
      <w:pPr>
        <w:pStyle w:val="Heading1"/>
      </w:pPr>
      <w:r w:rsidRPr="00AC36BC">
        <w:lastRenderedPageBreak/>
        <w:t xml:space="preserve">Key </w:t>
      </w:r>
      <w:r w:rsidR="004A211B" w:rsidRPr="00AC36BC">
        <w:t>Conclusions</w:t>
      </w:r>
      <w:r w:rsidRPr="00AC36BC">
        <w:t>:</w:t>
      </w:r>
    </w:p>
    <w:p w:rsidR="0045477A" w:rsidRPr="00727761" w:rsidRDefault="008A4541" w:rsidP="00AC36BC">
      <w:pPr>
        <w:pStyle w:val="ListParagraph"/>
        <w:numPr>
          <w:ilvl w:val="0"/>
          <w:numId w:val="3"/>
        </w:numPr>
        <w:rPr>
          <w:sz w:val="20"/>
        </w:rPr>
      </w:pPr>
      <w:r w:rsidRPr="00727761">
        <w:rPr>
          <w:sz w:val="20"/>
        </w:rPr>
        <w:t>Theater, music, technology</w:t>
      </w:r>
      <w:r w:rsidR="00700363" w:rsidRPr="00727761">
        <w:rPr>
          <w:sz w:val="20"/>
        </w:rPr>
        <w:t>,</w:t>
      </w:r>
      <w:r w:rsidR="004E13E4" w:rsidRPr="00727761">
        <w:rPr>
          <w:sz w:val="20"/>
        </w:rPr>
        <w:t xml:space="preserve"> and film &amp; video</w:t>
      </w:r>
      <w:r w:rsidRPr="00727761">
        <w:rPr>
          <w:sz w:val="20"/>
        </w:rPr>
        <w:t xml:space="preserve"> are the most attempted projects.</w:t>
      </w:r>
      <w:r w:rsidR="00700363" w:rsidRPr="00727761">
        <w:rPr>
          <w:sz w:val="20"/>
        </w:rPr>
        <w:t xml:space="preserve">   Combined, they account for 78% of all projects.</w:t>
      </w:r>
    </w:p>
    <w:p w:rsidR="00AC36BC" w:rsidRDefault="008A4541" w:rsidP="00F5008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77FDF90">
            <wp:extent cx="2435225" cy="1923898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6" r="16285" b="7033"/>
                    <a:stretch/>
                  </pic:blipFill>
                  <pic:spPr bwMode="auto">
                    <a:xfrm>
                      <a:off x="0" y="0"/>
                      <a:ext cx="2444305" cy="193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1B4" w:rsidRPr="00727761" w:rsidRDefault="000E589C" w:rsidP="0026362A">
      <w:pPr>
        <w:pStyle w:val="ListParagraph"/>
        <w:numPr>
          <w:ilvl w:val="0"/>
          <w:numId w:val="3"/>
        </w:numPr>
        <w:rPr>
          <w:sz w:val="20"/>
        </w:rPr>
      </w:pPr>
      <w:bookmarkStart w:id="0" w:name="_Hlk1911952"/>
      <w:r w:rsidRPr="00727761">
        <w:rPr>
          <w:sz w:val="20"/>
        </w:rPr>
        <w:t>Music, theater, and film have the highest percentage of success.</w:t>
      </w:r>
      <w:r w:rsidR="00244AAC" w:rsidRPr="00727761">
        <w:rPr>
          <w:sz w:val="20"/>
        </w:rPr>
        <w:t xml:space="preserve">    Journalism</w:t>
      </w:r>
      <w:r w:rsidR="0026362A" w:rsidRPr="00727761">
        <w:rPr>
          <w:sz w:val="20"/>
        </w:rPr>
        <w:t xml:space="preserve"> and food are the top two unsuccessful projects</w:t>
      </w:r>
      <w:r w:rsidR="005D54C1" w:rsidRPr="00727761">
        <w:rPr>
          <w:sz w:val="20"/>
        </w:rPr>
        <w:t>, and t</w:t>
      </w:r>
      <w:r w:rsidR="0026362A" w:rsidRPr="00727761">
        <w:rPr>
          <w:sz w:val="20"/>
        </w:rPr>
        <w:t>ied for 3</w:t>
      </w:r>
      <w:r w:rsidR="0026362A" w:rsidRPr="00727761">
        <w:rPr>
          <w:sz w:val="20"/>
          <w:vertAlign w:val="superscript"/>
        </w:rPr>
        <w:t>rd</w:t>
      </w:r>
      <w:r w:rsidR="0026362A" w:rsidRPr="00727761">
        <w:rPr>
          <w:sz w:val="20"/>
        </w:rPr>
        <w:t xml:space="preserve"> are publishing, technology and games.</w:t>
      </w:r>
    </w:p>
    <w:bookmarkEnd w:id="0"/>
    <w:p w:rsidR="000E589C" w:rsidRDefault="00244AAC" w:rsidP="000E589C">
      <w:pPr>
        <w:ind w:left="1440"/>
        <w:rPr>
          <w:b/>
        </w:rPr>
      </w:pPr>
      <w:r>
        <w:rPr>
          <w:b/>
          <w:noProof/>
        </w:rPr>
        <w:drawing>
          <wp:inline distT="0" distB="0" distL="0" distR="0" wp14:anchorId="5080DFD0">
            <wp:extent cx="2543175" cy="15287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59" cy="15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>
        <w:rPr>
          <w:b/>
          <w:noProof/>
        </w:rPr>
        <w:drawing>
          <wp:inline distT="0" distB="0" distL="0" distR="0" wp14:anchorId="1B4A9761">
            <wp:extent cx="2516428" cy="1512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74" cy="1521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589C" w:rsidRPr="000E589C" w:rsidRDefault="000E589C" w:rsidP="000E589C">
      <w:pPr>
        <w:ind w:left="1440"/>
        <w:rPr>
          <w:i/>
          <w:sz w:val="18"/>
          <w:szCs w:val="18"/>
        </w:rPr>
      </w:pPr>
      <w:r w:rsidRPr="000E589C">
        <w:rPr>
          <w:i/>
          <w:sz w:val="18"/>
          <w:szCs w:val="18"/>
        </w:rPr>
        <w:t>The Success Percentage measures the total number of all projects submitted against the number of projects which were successful</w:t>
      </w:r>
      <w:r w:rsidR="00244AAC">
        <w:rPr>
          <w:i/>
          <w:sz w:val="18"/>
          <w:szCs w:val="18"/>
        </w:rPr>
        <w:t xml:space="preserve"> or unsuccessful</w:t>
      </w:r>
      <w:r w:rsidRPr="000E589C">
        <w:rPr>
          <w:i/>
          <w:sz w:val="18"/>
          <w:szCs w:val="18"/>
        </w:rPr>
        <w:t>.</w:t>
      </w:r>
    </w:p>
    <w:p w:rsidR="000E589C" w:rsidRPr="00727761" w:rsidRDefault="00D06A8F" w:rsidP="00727761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 xml:space="preserve">The greater the number of projects, the greater the number of failures and success.    </w:t>
      </w:r>
      <w:r w:rsidR="00FC38A5">
        <w:rPr>
          <w:sz w:val="20"/>
        </w:rPr>
        <w:t>Overall, technology</w:t>
      </w:r>
      <w:r w:rsidR="00727C09">
        <w:rPr>
          <w:sz w:val="20"/>
        </w:rPr>
        <w:t xml:space="preserve"> is the most troubling</w:t>
      </w:r>
      <w:r w:rsidR="00FC38A5">
        <w:rPr>
          <w:sz w:val="20"/>
        </w:rPr>
        <w:t xml:space="preserve"> as it is the 3</w:t>
      </w:r>
      <w:r w:rsidR="00FC38A5" w:rsidRPr="00FC38A5">
        <w:rPr>
          <w:sz w:val="20"/>
          <w:vertAlign w:val="superscript"/>
        </w:rPr>
        <w:t>rd</w:t>
      </w:r>
      <w:r w:rsidR="00FC38A5">
        <w:rPr>
          <w:sz w:val="20"/>
        </w:rPr>
        <w:t xml:space="preserve"> highest in overall </w:t>
      </w:r>
      <w:r w:rsidR="00727C09">
        <w:rPr>
          <w:sz w:val="20"/>
        </w:rPr>
        <w:t>projects yet</w:t>
      </w:r>
      <w:r w:rsidR="00FC38A5">
        <w:rPr>
          <w:sz w:val="20"/>
        </w:rPr>
        <w:t xml:space="preserve"> has more failures than success.   </w:t>
      </w:r>
    </w:p>
    <w:p w:rsidR="00727761" w:rsidRPr="00F5008A" w:rsidRDefault="004E0DEF" w:rsidP="00F5008A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80A259F">
            <wp:extent cx="4314825" cy="25113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281" cy="2523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5B59" w:rsidRDefault="00B15B59" w:rsidP="001F4892">
      <w:pPr>
        <w:pStyle w:val="Heading1"/>
      </w:pPr>
      <w:r>
        <w:t xml:space="preserve">Other Factors </w:t>
      </w:r>
      <w:proofErr w:type="gramStart"/>
      <w:r>
        <w:t>To</w:t>
      </w:r>
      <w:proofErr w:type="gramEnd"/>
      <w:r>
        <w:t xml:space="preserve"> Consider:</w:t>
      </w:r>
    </w:p>
    <w:p w:rsidR="00B15B59" w:rsidRPr="00727761" w:rsidRDefault="00D90C36" w:rsidP="00B15B59">
      <w:pPr>
        <w:pStyle w:val="ListParagraph"/>
        <w:numPr>
          <w:ilvl w:val="0"/>
          <w:numId w:val="9"/>
        </w:numPr>
        <w:rPr>
          <w:sz w:val="20"/>
        </w:rPr>
      </w:pPr>
      <w:r w:rsidRPr="00727761">
        <w:rPr>
          <w:sz w:val="20"/>
        </w:rPr>
        <w:t>Review the success rate to find other relationships in the data.</w:t>
      </w:r>
      <w:r w:rsidR="00727761" w:rsidRPr="00727761">
        <w:rPr>
          <w:sz w:val="20"/>
        </w:rPr>
        <w:t xml:space="preserve">      (Opposed to only success and failure numbers.)</w:t>
      </w:r>
    </w:p>
    <w:p w:rsidR="001F4892" w:rsidRPr="00727761" w:rsidRDefault="004E13E4" w:rsidP="001F4892">
      <w:pPr>
        <w:pStyle w:val="ListParagraph"/>
        <w:numPr>
          <w:ilvl w:val="0"/>
          <w:numId w:val="9"/>
        </w:numPr>
        <w:rPr>
          <w:sz w:val="20"/>
        </w:rPr>
      </w:pPr>
      <w:r w:rsidRPr="00727761">
        <w:rPr>
          <w:sz w:val="20"/>
        </w:rPr>
        <w:t>Define the</w:t>
      </w:r>
      <w:r w:rsidR="00B153F8" w:rsidRPr="00727761">
        <w:rPr>
          <w:sz w:val="20"/>
        </w:rPr>
        <w:t xml:space="preserve"> launch date and deadline, and what they indicate for p</w:t>
      </w:r>
      <w:r w:rsidR="000335EB" w:rsidRPr="00727761">
        <w:rPr>
          <w:sz w:val="20"/>
        </w:rPr>
        <w:t>roject success.</w:t>
      </w:r>
    </w:p>
    <w:p w:rsidR="00AC36BC" w:rsidRPr="00727761" w:rsidRDefault="001F4892" w:rsidP="001F4892">
      <w:pPr>
        <w:pStyle w:val="ListParagraph"/>
        <w:numPr>
          <w:ilvl w:val="0"/>
          <w:numId w:val="9"/>
        </w:numPr>
        <w:rPr>
          <w:sz w:val="20"/>
        </w:rPr>
      </w:pPr>
      <w:r w:rsidRPr="00727761">
        <w:rPr>
          <w:sz w:val="20"/>
        </w:rPr>
        <w:t xml:space="preserve">Determine factors which contribute to success and failure; </w:t>
      </w:r>
      <w:proofErr w:type="spellStart"/>
      <w:proofErr w:type="gramStart"/>
      <w:r w:rsidRPr="00727761">
        <w:rPr>
          <w:sz w:val="20"/>
        </w:rPr>
        <w:t>ie</w:t>
      </w:r>
      <w:proofErr w:type="spellEnd"/>
      <w:r w:rsidRPr="00727761">
        <w:rPr>
          <w:sz w:val="20"/>
        </w:rPr>
        <w:t>,  funding</w:t>
      </w:r>
      <w:proofErr w:type="gramEnd"/>
      <w:r w:rsidRPr="00727761">
        <w:rPr>
          <w:sz w:val="20"/>
        </w:rPr>
        <w:t>, country, spotlight, and staff picks</w:t>
      </w:r>
    </w:p>
    <w:p w:rsidR="00B153F8" w:rsidRDefault="001F4892" w:rsidP="00727761">
      <w:pPr>
        <w:pStyle w:val="Heading1"/>
      </w:pPr>
      <w:bookmarkStart w:id="1" w:name="_GoBack"/>
      <w:bookmarkEnd w:id="1"/>
      <w:r>
        <w:br w:type="page"/>
      </w:r>
      <w:r w:rsidR="00B153F8">
        <w:lastRenderedPageBreak/>
        <w:t>Reference:</w:t>
      </w:r>
    </w:p>
    <w:p w:rsidR="00DD2318" w:rsidRDefault="00DC6F6B" w:rsidP="00B153F8">
      <w:pPr>
        <w:pStyle w:val="Heading2"/>
      </w:pPr>
      <w:r w:rsidRPr="008653D2">
        <w:t>Other Analysis Points</w:t>
      </w:r>
      <w:r w:rsidR="00DD2318">
        <w:t xml:space="preserve"> </w:t>
      </w:r>
    </w:p>
    <w:p w:rsidR="00D4617A" w:rsidRPr="00B153F8" w:rsidRDefault="00D4617A" w:rsidP="00B153F8">
      <w:pPr>
        <w:pStyle w:val="Heading3"/>
      </w:pPr>
      <w:r w:rsidRPr="00B153F8">
        <w:t>By Country</w:t>
      </w:r>
    </w:p>
    <w:p w:rsidR="00DC6F6B" w:rsidRDefault="00DC6F6B">
      <w:r>
        <w:t>Of the successful projects, 96% are from the United States, United Kingdom, Canada, and Germany.</w:t>
      </w:r>
      <w:r w:rsidR="008653D2">
        <w:t xml:space="preserve">   These are also the only countries which have a least 1% of the total successful projects.</w:t>
      </w:r>
    </w:p>
    <w:p w:rsidR="004A211B" w:rsidRDefault="004A211B">
      <w:r>
        <w:t>However, the countries with the highest success rates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080"/>
      </w:tblGrid>
      <w:tr w:rsidR="004A211B" w:rsidTr="004A211B">
        <w:tc>
          <w:tcPr>
            <w:tcW w:w="985" w:type="dxa"/>
          </w:tcPr>
          <w:p w:rsidR="004A211B" w:rsidRDefault="004A211B">
            <w:r w:rsidRPr="004A211B">
              <w:t>Luxembourg</w:t>
            </w:r>
            <w:r>
              <w:t xml:space="preserve"> &amp; </w:t>
            </w:r>
            <w:r w:rsidRPr="004A211B">
              <w:t>Singapore</w:t>
            </w:r>
          </w:p>
        </w:tc>
        <w:tc>
          <w:tcPr>
            <w:tcW w:w="1080" w:type="dxa"/>
          </w:tcPr>
          <w:p w:rsidR="004A211B" w:rsidRDefault="004A211B">
            <w:r>
              <w:t>100%</w:t>
            </w:r>
          </w:p>
        </w:tc>
      </w:tr>
      <w:tr w:rsidR="004A211B" w:rsidTr="004A211B">
        <w:tc>
          <w:tcPr>
            <w:tcW w:w="985" w:type="dxa"/>
          </w:tcPr>
          <w:p w:rsidR="004A211B" w:rsidRDefault="004A211B">
            <w:r>
              <w:t>Great Britain</w:t>
            </w:r>
          </w:p>
        </w:tc>
        <w:tc>
          <w:tcPr>
            <w:tcW w:w="1080" w:type="dxa"/>
          </w:tcPr>
          <w:p w:rsidR="004A211B" w:rsidRDefault="004A211B">
            <w:r>
              <w:t>61%</w:t>
            </w:r>
          </w:p>
        </w:tc>
      </w:tr>
      <w:tr w:rsidR="004A211B" w:rsidTr="004A211B">
        <w:tc>
          <w:tcPr>
            <w:tcW w:w="985" w:type="dxa"/>
          </w:tcPr>
          <w:p w:rsidR="004A211B" w:rsidRDefault="004A211B">
            <w:r>
              <w:t>United States</w:t>
            </w:r>
          </w:p>
        </w:tc>
        <w:tc>
          <w:tcPr>
            <w:tcW w:w="1080" w:type="dxa"/>
          </w:tcPr>
          <w:p w:rsidR="004A211B" w:rsidRDefault="004A211B">
            <w:r>
              <w:t>54%</w:t>
            </w:r>
          </w:p>
        </w:tc>
      </w:tr>
      <w:tr w:rsidR="004A211B" w:rsidTr="004A211B">
        <w:tc>
          <w:tcPr>
            <w:tcW w:w="985" w:type="dxa"/>
          </w:tcPr>
          <w:p w:rsidR="004A211B" w:rsidRDefault="004A211B">
            <w:r>
              <w:t>Ireland</w:t>
            </w:r>
          </w:p>
        </w:tc>
        <w:tc>
          <w:tcPr>
            <w:tcW w:w="1080" w:type="dxa"/>
          </w:tcPr>
          <w:p w:rsidR="004A211B" w:rsidRDefault="004A211B">
            <w:r>
              <w:t>53%</w:t>
            </w:r>
          </w:p>
        </w:tc>
      </w:tr>
    </w:tbl>
    <w:p w:rsidR="004A211B" w:rsidRDefault="004A211B"/>
    <w:p w:rsidR="00DC6F6B" w:rsidRDefault="00DC6F6B">
      <w:r>
        <w:rPr>
          <w:noProof/>
        </w:rPr>
        <w:drawing>
          <wp:inline distT="0" distB="0" distL="0" distR="0" wp14:anchorId="18DEBBD8" wp14:editId="04932F35">
            <wp:extent cx="3116275" cy="2111276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289" cy="21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D2" w:rsidRDefault="004A211B">
      <w:r>
        <w:rPr>
          <w:noProof/>
        </w:rPr>
        <w:drawing>
          <wp:inline distT="0" distB="0" distL="0" distR="0" wp14:anchorId="2E91FA20" wp14:editId="2BCAA8AF">
            <wp:extent cx="3196742" cy="3140659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099" cy="31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D2" w:rsidRDefault="008653D2"/>
    <w:p w:rsidR="00762317" w:rsidRDefault="00762317"/>
    <w:p w:rsidR="00762317" w:rsidRDefault="00762317">
      <w:r>
        <w:rPr>
          <w:noProof/>
        </w:rPr>
        <w:lastRenderedPageBreak/>
        <w:drawing>
          <wp:inline distT="0" distB="0" distL="0" distR="0" wp14:anchorId="42C49628" wp14:editId="372F9450">
            <wp:extent cx="3568199" cy="2977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401" cy="29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94" w:rsidRDefault="00857794"/>
    <w:p w:rsidR="00857794" w:rsidRDefault="00AC36BC" w:rsidP="00B153F8">
      <w:pPr>
        <w:pStyle w:val="Heading3"/>
      </w:pPr>
      <w:r>
        <w:t>Factors which contribute to success</w:t>
      </w:r>
    </w:p>
    <w:p w:rsidR="00857794" w:rsidRDefault="00A96912" w:rsidP="00AC36BC">
      <w:pPr>
        <w:pStyle w:val="ListParagraph"/>
        <w:numPr>
          <w:ilvl w:val="0"/>
          <w:numId w:val="2"/>
        </w:numPr>
      </w:pPr>
      <w:r>
        <w:t>Is the percent of money spent related to the success?</w:t>
      </w:r>
    </w:p>
    <w:p w:rsidR="00AC36BC" w:rsidRDefault="00AC36BC" w:rsidP="00AC36BC">
      <w:pPr>
        <w:pStyle w:val="ListParagraph"/>
        <w:numPr>
          <w:ilvl w:val="0"/>
          <w:numId w:val="1"/>
        </w:numPr>
      </w:pPr>
      <w:r>
        <w:t>Values must be normalized across currency.</w:t>
      </w:r>
    </w:p>
    <w:p w:rsidR="00AC36BC" w:rsidRDefault="00A96912" w:rsidP="00AC36BC">
      <w:pPr>
        <w:pStyle w:val="ListParagraph"/>
        <w:numPr>
          <w:ilvl w:val="0"/>
          <w:numId w:val="2"/>
        </w:numPr>
      </w:pPr>
      <w:r>
        <w:t>Is th</w:t>
      </w:r>
      <w:r w:rsidR="00AC36BC">
        <w:t>e</w:t>
      </w:r>
      <w:r w:rsidR="00520529">
        <w:t xml:space="preserve"> funding</w:t>
      </w:r>
      <w:r w:rsidR="00AC36BC">
        <w:t xml:space="preserve"> goal related to success?</w:t>
      </w:r>
    </w:p>
    <w:p w:rsidR="00030E77" w:rsidRDefault="00AC36BC">
      <w:r>
        <w:t xml:space="preserve">NOTE:   both the above require </w:t>
      </w:r>
      <w:proofErr w:type="spellStart"/>
      <w:r>
        <w:t>clean up</w:t>
      </w:r>
      <w:proofErr w:type="spellEnd"/>
      <w:r>
        <w:t xml:space="preserve"> of the data as the Regression function rejects the data as non-numeric.   Took basic steps to format data as a number, but this did not solve the problem.    Once data cleanup is complete, then can offer the P-Value.</w:t>
      </w:r>
    </w:p>
    <w:p w:rsidR="00AC36BC" w:rsidRDefault="00AC36BC">
      <w:r>
        <w:t>Given the time needed, foregoing this work in favor of the bonus homework.</w:t>
      </w:r>
    </w:p>
    <w:p w:rsidR="00030E77" w:rsidRDefault="00CD4FF6" w:rsidP="00B153F8">
      <w:pPr>
        <w:pStyle w:val="Heading3"/>
      </w:pPr>
      <w:r>
        <w:t>Success</w:t>
      </w:r>
      <w:r w:rsidR="008A4541">
        <w:t xml:space="preserve"> &amp; Failure</w:t>
      </w:r>
      <w:r>
        <w:t xml:space="preserve"> Percentage Across Category</w:t>
      </w:r>
    </w:p>
    <w:p w:rsidR="00520529" w:rsidRPr="00520529" w:rsidRDefault="00520529" w:rsidP="00520529">
      <w:r>
        <w:t>Two of the projects with the highest success also had the highest failures, by number.    (Not by percentage.)</w:t>
      </w:r>
    </w:p>
    <w:p w:rsidR="00CD4FF6" w:rsidRDefault="008A4541">
      <w:r>
        <w:rPr>
          <w:noProof/>
        </w:rPr>
        <w:drawing>
          <wp:inline distT="0" distB="0" distL="0" distR="0" wp14:anchorId="2A3826E0" wp14:editId="7FE7EC58">
            <wp:extent cx="3823525" cy="1821485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994" cy="18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F6" w:rsidRDefault="00CD4FF6"/>
    <w:p w:rsidR="00CD4FF6" w:rsidRDefault="008A4541">
      <w:r>
        <w:rPr>
          <w:noProof/>
        </w:rPr>
        <w:lastRenderedPageBreak/>
        <w:drawing>
          <wp:inline distT="0" distB="0" distL="0" distR="0" wp14:anchorId="5036B762" wp14:editId="6B3122BF">
            <wp:extent cx="6858000" cy="3651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EE" w:rsidRDefault="003349EE"/>
    <w:p w:rsidR="003349EE" w:rsidRDefault="003349EE" w:rsidP="00B153F8">
      <w:pPr>
        <w:pStyle w:val="Heading3"/>
      </w:pPr>
      <w:r>
        <w:t>Launch Dates</w:t>
      </w:r>
    </w:p>
    <w:p w:rsidR="003349EE" w:rsidRDefault="003349EE" w:rsidP="003349EE">
      <w:r>
        <w:t xml:space="preserve">More information is needed on the conversion dates.    For </w:t>
      </w:r>
      <w:r w:rsidR="00B153F8">
        <w:t>example,</w:t>
      </w:r>
      <w:r>
        <w:t xml:space="preserve"> the relationship between launched and deadline.    Would need to understand what Live means, and whether it is included in success. </w:t>
      </w:r>
    </w:p>
    <w:p w:rsidR="003349EE" w:rsidRDefault="003349EE" w:rsidP="003349EE"/>
    <w:p w:rsidR="003349EE" w:rsidRDefault="003349EE" w:rsidP="003349EE">
      <w:r>
        <w:rPr>
          <w:b/>
          <w:noProof/>
        </w:rPr>
        <w:drawing>
          <wp:inline distT="0" distB="0" distL="0" distR="0" wp14:anchorId="35648C90" wp14:editId="6D7147D4">
            <wp:extent cx="3303511" cy="22750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92" cy="2277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D41" w:rsidRDefault="00B92D41" w:rsidP="003349EE"/>
    <w:p w:rsidR="00B92D41" w:rsidRDefault="00B92D41" w:rsidP="00F208CF">
      <w:pPr>
        <w:pStyle w:val="Heading3"/>
      </w:pPr>
      <w:r>
        <w:t>Staff Picks</w:t>
      </w:r>
    </w:p>
    <w:p w:rsidR="00F208CF" w:rsidRDefault="00B92D41" w:rsidP="003349EE">
      <w:r>
        <w:t xml:space="preserve">Interesting, but need to know what is meant by Staff Picks.    </w:t>
      </w:r>
      <w:proofErr w:type="spellStart"/>
      <w:r>
        <w:t>Ie</w:t>
      </w:r>
      <w:proofErr w:type="spellEnd"/>
      <w:r>
        <w:t>, maybe they can only pick a set number?   If they can pick as many as they would like, then this tells</w:t>
      </w:r>
      <w:r w:rsidR="00F208CF">
        <w:t xml:space="preserve"> an interesting story – the staff are not good at picking.</w:t>
      </w:r>
    </w:p>
    <w:p w:rsidR="00F208CF" w:rsidRDefault="00F208CF" w:rsidP="003349EE"/>
    <w:p w:rsidR="00A41AE1" w:rsidRDefault="00F208CF" w:rsidP="003349EE">
      <w:r>
        <w:rPr>
          <w:noProof/>
        </w:rPr>
        <w:lastRenderedPageBreak/>
        <w:drawing>
          <wp:inline distT="0" distB="0" distL="0" distR="0" wp14:anchorId="352DD423" wp14:editId="5D70221E">
            <wp:extent cx="68580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Pr="00A41AE1" w:rsidRDefault="00A41AE1" w:rsidP="00A41AE1"/>
    <w:p w:rsidR="00A41AE1" w:rsidRDefault="00A41AE1" w:rsidP="00A41AE1"/>
    <w:p w:rsidR="00F208CF" w:rsidRPr="00A41AE1" w:rsidRDefault="00B529E8" w:rsidP="00B529E8">
      <w:pPr>
        <w:tabs>
          <w:tab w:val="left" w:pos="5925"/>
        </w:tabs>
      </w:pPr>
      <w:r>
        <w:tab/>
      </w:r>
    </w:p>
    <w:sectPr w:rsidR="00F208CF" w:rsidRPr="00A41AE1" w:rsidSect="0026362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2A9"/>
    <w:multiLevelType w:val="hybridMultilevel"/>
    <w:tmpl w:val="887C9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05B99"/>
    <w:multiLevelType w:val="hybridMultilevel"/>
    <w:tmpl w:val="8FDA0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1BFB"/>
    <w:multiLevelType w:val="hybridMultilevel"/>
    <w:tmpl w:val="8FDA0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D2B3B"/>
    <w:multiLevelType w:val="hybridMultilevel"/>
    <w:tmpl w:val="DFBA6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85A38"/>
    <w:multiLevelType w:val="hybridMultilevel"/>
    <w:tmpl w:val="21EC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E758A"/>
    <w:multiLevelType w:val="hybridMultilevel"/>
    <w:tmpl w:val="E1C8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A6293"/>
    <w:multiLevelType w:val="hybridMultilevel"/>
    <w:tmpl w:val="8FDA0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90E79"/>
    <w:multiLevelType w:val="hybridMultilevel"/>
    <w:tmpl w:val="8FDA0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F57A4"/>
    <w:multiLevelType w:val="hybridMultilevel"/>
    <w:tmpl w:val="C46AB382"/>
    <w:lvl w:ilvl="0" w:tplc="261A0E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CB"/>
    <w:rsid w:val="0001457C"/>
    <w:rsid w:val="00027FED"/>
    <w:rsid w:val="00030E77"/>
    <w:rsid w:val="000335EB"/>
    <w:rsid w:val="000E589C"/>
    <w:rsid w:val="00136614"/>
    <w:rsid w:val="001410FA"/>
    <w:rsid w:val="001A23CB"/>
    <w:rsid w:val="001F4892"/>
    <w:rsid w:val="00244AAC"/>
    <w:rsid w:val="0026362A"/>
    <w:rsid w:val="003349EE"/>
    <w:rsid w:val="003F79D9"/>
    <w:rsid w:val="0045477A"/>
    <w:rsid w:val="0049450F"/>
    <w:rsid w:val="004A211B"/>
    <w:rsid w:val="004E0DEF"/>
    <w:rsid w:val="004E13E4"/>
    <w:rsid w:val="005011B4"/>
    <w:rsid w:val="00506894"/>
    <w:rsid w:val="00520529"/>
    <w:rsid w:val="005903C6"/>
    <w:rsid w:val="005C0261"/>
    <w:rsid w:val="005D54C1"/>
    <w:rsid w:val="005F5BBF"/>
    <w:rsid w:val="00610FC0"/>
    <w:rsid w:val="006E5F1D"/>
    <w:rsid w:val="00700363"/>
    <w:rsid w:val="00703C7F"/>
    <w:rsid w:val="00727761"/>
    <w:rsid w:val="00727C09"/>
    <w:rsid w:val="00762317"/>
    <w:rsid w:val="00857794"/>
    <w:rsid w:val="008653D2"/>
    <w:rsid w:val="008A4541"/>
    <w:rsid w:val="00A02B40"/>
    <w:rsid w:val="00A26DE9"/>
    <w:rsid w:val="00A35434"/>
    <w:rsid w:val="00A41AE1"/>
    <w:rsid w:val="00A96912"/>
    <w:rsid w:val="00AA5DFE"/>
    <w:rsid w:val="00AC36BC"/>
    <w:rsid w:val="00B153F8"/>
    <w:rsid w:val="00B15B59"/>
    <w:rsid w:val="00B512FC"/>
    <w:rsid w:val="00B529E8"/>
    <w:rsid w:val="00B92D41"/>
    <w:rsid w:val="00CD4FF6"/>
    <w:rsid w:val="00D06A8F"/>
    <w:rsid w:val="00D14EE2"/>
    <w:rsid w:val="00D30506"/>
    <w:rsid w:val="00D4617A"/>
    <w:rsid w:val="00D566BE"/>
    <w:rsid w:val="00D90C36"/>
    <w:rsid w:val="00DA23E4"/>
    <w:rsid w:val="00DC6F6B"/>
    <w:rsid w:val="00DD2318"/>
    <w:rsid w:val="00F208CF"/>
    <w:rsid w:val="00F5008A"/>
    <w:rsid w:val="00F869AB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3A61"/>
  <w15:chartTrackingRefBased/>
  <w15:docId w15:val="{8A037438-FF20-4033-AC1A-FAFBF13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3D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3F8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  <w:style w:type="table" w:styleId="TableGrid">
    <w:name w:val="Table Grid"/>
    <w:basedOn w:val="TableNormal"/>
    <w:uiPriority w:val="39"/>
    <w:rsid w:val="004A2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6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A322-907C-44DB-A7CC-926BDD34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Lorie</dc:creator>
  <cp:keywords/>
  <dc:description/>
  <cp:lastModifiedBy>Grant, Lorie</cp:lastModifiedBy>
  <cp:revision>2</cp:revision>
  <dcterms:created xsi:type="dcterms:W3CDTF">2019-02-26T02:30:00Z</dcterms:created>
  <dcterms:modified xsi:type="dcterms:W3CDTF">2019-02-26T02:30:00Z</dcterms:modified>
</cp:coreProperties>
</file>