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numPr>
          <w:ilvl w:val="0"/>
          <w:numId w:val="0"/>
        </w:numPr>
        <w:spacing w:before="480" w:after="0"/>
        <w:rPr/>
      </w:pPr>
      <w:r>
        <w:rPr/>
        <w:t>Rapport trimestriel</w:t>
      </w:r>
    </w:p>
    <w:p>
      <w:pPr>
        <w:pStyle w:val="Normal"/>
        <w:rPr/>
      </w:pPr>
      <w:r>
        <w:rPr/>
        <w:t xml:space="preserve">Ce document contient un </w:t>
      </w:r>
      <w:r>
        <w:rPr>
          <w:b/>
        </w:rPr>
        <w:t>tableau</w:t>
      </w:r>
      <w:r>
        <w:rPr/>
        <w:t xml:space="preserve"> et des </w:t>
      </w:r>
      <w:r>
        <w:rPr>
          <w:i/>
        </w:rPr>
        <w:t>cellules fusionnées</w:t>
      </w:r>
      <w:r>
        <w:rPr/>
        <w:t>.</w:t>
      </w:r>
    </w:p>
    <w:p>
      <w:pPr>
        <w:pStyle w:val="Heading2"/>
        <w:rPr/>
      </w:pPr>
      <w:r>
        <w:rPr/>
        <w:t>Chiffres</w:t>
      </w:r>
    </w:p>
    <w:tbl>
      <w:tblPr>
        <w:tblW w:w="8640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b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Région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b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T1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b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2"/>
                <w:szCs w:val="22"/>
                <w:lang w:val="en-US" w:eastAsia="en-US" w:bidi="ar-SA"/>
              </w:rPr>
              <w:t>T2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Nord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120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135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Sud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98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101</w:t>
            </w:r>
          </w:p>
        </w:tc>
      </w:tr>
      <w:tr>
        <w:trPr/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Total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454</w:t>
            </w:r>
          </w:p>
        </w:tc>
      </w:tr>
    </w:tbl>
    <w:p>
      <w:pPr>
        <w:pStyle w:val="ListBullet"/>
        <w:numPr>
          <w:ilvl w:val="0"/>
          <w:numId w:val="2"/>
        </w:numPr>
        <w:rPr/>
      </w:pPr>
      <w:r>
        <w:rPr/>
        <w:t>Premier point</w:t>
      </w:r>
    </w:p>
    <w:p>
      <w:pPr>
        <w:pStyle w:val="ListBullet"/>
        <w:numPr>
          <w:ilvl w:val="0"/>
          <w:numId w:val="2"/>
        </w:numPr>
        <w:rPr/>
      </w:pPr>
      <w:r>
        <w:rPr/>
        <w:t>Second point</w:t>
      </w:r>
    </w:p>
    <w:p>
      <w:pPr>
        <w:pStyle w:val="ListNumber"/>
        <w:numPr>
          <w:ilvl w:val="0"/>
          <w:numId w:val="5"/>
        </w:numPr>
        <w:rPr/>
      </w:pPr>
      <w:r>
        <w:rPr/>
        <w:t>Étape un</w:t>
      </w:r>
    </w:p>
    <w:p>
      <w:pPr>
        <w:pStyle w:val="ListNumber"/>
        <w:numPr>
          <w:ilvl w:val="0"/>
          <w:numId w:val="5"/>
        </w:numPr>
        <w:rPr/>
      </w:pPr>
      <w:r>
        <w:rPr/>
        <w:t>Étape deux</w:t>
      </w:r>
    </w:p>
    <w:p>
      <w:pPr>
        <w:pStyle w:val="Normal"/>
        <w:jc w:val="center"/>
        <w:rPr>
          <w:color w:val="C00000"/>
          <w:sz w:val="28"/>
        </w:rPr>
      </w:pPr>
      <w:r>
        <w:rPr>
          <w:color w:val="C00000"/>
          <w:sz w:val="28"/>
        </w:rPr>
        <w:t>Fin du rapport</w:t>
      </w:r>
    </w:p>
    <w:tbl>
      <w:tblPr>
        <w:tblW w:w="8640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Équipe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Alice</w:t>
            </w:r>
          </w:p>
        </w:tc>
      </w:tr>
      <w:tr>
        <w:trPr/>
        <w:tc>
          <w:tcPr>
            <w:tcW w:w="43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Bruno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Seul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Chloé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DejaVu Sans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DejaVu Sans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DejaVu Sans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DejaVu Sans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DejaVu Sans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DejaVu Sans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DejaVu Sans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DejaVu Sans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DejaVu Sans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DejaVu Sans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DejaVu Sans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DejaVu Sans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DejaVu Sans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DejaVu Sans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DejaVu Sans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DejaVu Sans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DejaVu Sans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DejaVu Sans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macro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43</Words>
  <Characters>195</Characters>
  <CharactersWithSpaces>210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