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F540B5" w14:textId="1467F963" w:rsidR="00111B59" w:rsidRPr="00504DCA" w:rsidRDefault="00504DCA" w:rsidP="00504DCA">
      <w:pPr>
        <w:pStyle w:val="Heading1"/>
      </w:pPr>
      <w:r w:rsidRPr="00504DCA">
        <w:t>Concept Note.</w:t>
      </w:r>
    </w:p>
    <w:p w14:paraId="70C28D82" w14:textId="4A335FA9" w:rsidR="00243611" w:rsidRDefault="00243611" w:rsidP="00504DCA">
      <w:pPr>
        <w:pStyle w:val="Heading1"/>
      </w:pPr>
      <w:r>
        <w:t>AgroMind – Design and Development of an AI-powered Agricultural Assistant for Kenyan Farmers</w:t>
      </w:r>
    </w:p>
    <w:p w14:paraId="2FE9BE2C" w14:textId="3531676A" w:rsidR="00243611" w:rsidRDefault="00243611"/>
    <w:p w14:paraId="5CEE8E60" w14:textId="00FDA6CC" w:rsidR="001857B0" w:rsidRDefault="00243611">
      <w:r>
        <w:t>Agriculture is one of the main backbones of Kenya’s economy, employing over 40% of the labor population and contributing greatly to the country’s GDP, small-scale framers contributing to main agricultural output.</w:t>
      </w:r>
      <w:r w:rsidR="00504DCA">
        <w:t xml:space="preserve"> </w:t>
      </w:r>
      <w:r>
        <w:t>Small-scale farmers face challenges affecting substantial productivity challenges</w:t>
      </w:r>
      <w:r w:rsidR="00B616F4">
        <w:t xml:space="preserve"> especially limited access to accurate agricultural information, forcing them to make critical decisions that sometimes do not favor good agricultural productivity. This is caused by lack of knowledge on agricultural knowledge, where knowledge on factors like disease diagnosis, weather forecasting and market price, is inaccessible, unaffordable or too technical for the average farmer to access</w:t>
      </w:r>
      <w:r w:rsidR="00504DCA">
        <w:t xml:space="preserve">. </w:t>
      </w:r>
      <w:r w:rsidR="00B616F4">
        <w:t xml:space="preserve">According to </w:t>
      </w:r>
      <w:r w:rsidR="001857B0">
        <w:t>Food and Agriculture Organization (FAO), crop diseases alone are the cause of 40% of global food production losses annually, while in the Kenyan markets, farmers receive significantly lower prices for their produce due to information asymmetry between farmers and middlemen</w:t>
      </w:r>
      <w:r w:rsidR="00396419">
        <w:t xml:space="preserve">. </w:t>
      </w:r>
      <w:r w:rsidR="00396419">
        <w:t xml:space="preserve">Food and Agriculture Organization of the United Nations. (2020). </w:t>
      </w:r>
      <w:r w:rsidR="00396419">
        <w:rPr>
          <w:rStyle w:val="Emphasis"/>
        </w:rPr>
        <w:t>International Year of Plant Health</w:t>
      </w:r>
      <w:r w:rsidR="00396419">
        <w:t xml:space="preserve">. </w:t>
      </w:r>
      <w:hyperlink r:id="rId4" w:history="1">
        <w:r w:rsidR="00396419" w:rsidRPr="004E3D9B">
          <w:rPr>
            <w:rStyle w:val="Hyperlink"/>
            <w:color w:val="000000" w:themeColor="text1"/>
          </w:rPr>
          <w:t>https://www.fao.org/plant-health-2020/about/en/</w:t>
        </w:r>
      </w:hyperlink>
      <w:r w:rsidR="00396419" w:rsidRPr="004E3D9B">
        <w:rPr>
          <w:color w:val="000000" w:themeColor="text1"/>
        </w:rPr>
        <w:t>.</w:t>
      </w:r>
    </w:p>
    <w:p w14:paraId="6EBFE483" w14:textId="52AE68FB" w:rsidR="00396419" w:rsidRDefault="00396419"/>
    <w:p w14:paraId="0B3A6F91" w14:textId="1F076898" w:rsidR="001857B0" w:rsidRDefault="00396419">
      <w:r>
        <w:t xml:space="preserve">There are several solutions that have already been implemented, including government-run agricultural extension services, SMS-based advisory systems, </w:t>
      </w:r>
      <w:r w:rsidR="004E3D9B">
        <w:t>stand-alone</w:t>
      </w:r>
      <w:r>
        <w:t xml:space="preserve"> crop disease</w:t>
      </w:r>
      <w:r w:rsidR="004E3D9B">
        <w:t xml:space="preserve"> mobile applications and general-purpose weather forecasting tools. This project will implement a web-based platform, AgroMind, that will consolidate crop disease detection, weather-based planti</w:t>
      </w:r>
      <w:r w:rsidR="00E766B6">
        <w:t>ng advice into a single accessible system. The platform will be built in stages, starting with the backend API layer, the frontend development and integrating AI – powered features until a fully functional system is achieved. The Agile methodology system will be used, allowing for stage-based development and continuous testing throughout creation, ensuring functionality</w:t>
      </w:r>
      <w:r w:rsidR="00AF5B45">
        <w:t xml:space="preserve"> and constant improvement. Frontend will be built using React and </w:t>
      </w:r>
      <w:r w:rsidR="00FD0BAE">
        <w:t>Tailwind</w:t>
      </w:r>
      <w:r w:rsidR="00AF5B45">
        <w:t xml:space="preserve"> CSS</w:t>
      </w:r>
      <w:r w:rsidR="00FD0BAE">
        <w:t>, for the ability to create greats system architecture, combined with user friendly interactive interfaces. The Backend will be developed using Python and FastAPI, selected because Python offers native support for AI and machine learning libraries, making it the most suitable language</w:t>
      </w:r>
      <w:r w:rsidR="00F95623">
        <w:t xml:space="preserve"> for integrating the platform’s intelligent features. Supabase will be used as the database management system, chosen for its open-source PostgreSQL foundation, built in authentication capabilities and accessible free tier suitable for academic development. The solution will operate as a web-based platform enhanced with machine learning and large language model integration</w:t>
      </w:r>
      <w:r w:rsidR="00504DCA">
        <w:t xml:space="preserve">, chosen over a mobile or desktop application because a web-based solution requires no installation, has no limitations on mobile compatibilities and accessible through devices including low-cost smartphones, through the browser. This simplifies deployment. </w:t>
      </w:r>
    </w:p>
    <w:sectPr w:rsidR="001857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611"/>
    <w:rsid w:val="00111B59"/>
    <w:rsid w:val="001857B0"/>
    <w:rsid w:val="00243611"/>
    <w:rsid w:val="00335BEB"/>
    <w:rsid w:val="00396419"/>
    <w:rsid w:val="003D6659"/>
    <w:rsid w:val="004E3D9B"/>
    <w:rsid w:val="00504DCA"/>
    <w:rsid w:val="00AF5B45"/>
    <w:rsid w:val="00B616F4"/>
    <w:rsid w:val="00E766B6"/>
    <w:rsid w:val="00F95623"/>
    <w:rsid w:val="00FD0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09AC0"/>
  <w15:chartTrackingRefBased/>
  <w15:docId w15:val="{B563D602-76BB-4EEE-8FAA-DA6C929AF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659"/>
    <w:pPr>
      <w:spacing w:after="0" w:line="24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504DCA"/>
    <w:pPr>
      <w:keepNext/>
      <w:keepLines/>
      <w:spacing w:before="240"/>
      <w:jc w:val="center"/>
      <w:outlineLvl w:val="0"/>
    </w:pPr>
    <w:rPr>
      <w:rFonts w:eastAsiaTheme="majorEastAsia" w:cstheme="majorBidi"/>
      <w:b/>
      <w:bCs/>
      <w:color w:val="000000" w:themeColor="text1"/>
      <w:szCs w:val="24"/>
      <w:u w:val="single"/>
    </w:rPr>
  </w:style>
  <w:style w:type="paragraph" w:styleId="Heading2">
    <w:name w:val="heading 2"/>
    <w:basedOn w:val="Normal"/>
    <w:next w:val="Normal"/>
    <w:link w:val="Heading2Char"/>
    <w:autoRedefine/>
    <w:uiPriority w:val="9"/>
    <w:unhideWhenUsed/>
    <w:qFormat/>
    <w:rsid w:val="00335BEB"/>
    <w:pPr>
      <w:keepNext/>
      <w:keepLines/>
      <w:spacing w:before="40"/>
      <w:outlineLvl w:val="1"/>
    </w:pPr>
    <w:rPr>
      <w:rFonts w:eastAsiaTheme="majorEastAsia" w:cstheme="majorBidi"/>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DCA"/>
    <w:rPr>
      <w:rFonts w:ascii="Times New Roman" w:eastAsiaTheme="majorEastAsia" w:hAnsi="Times New Roman" w:cstheme="majorBidi"/>
      <w:b/>
      <w:bCs/>
      <w:color w:val="000000" w:themeColor="text1"/>
      <w:sz w:val="24"/>
      <w:szCs w:val="24"/>
      <w:u w:val="single"/>
    </w:rPr>
  </w:style>
  <w:style w:type="character" w:customStyle="1" w:styleId="Heading2Char">
    <w:name w:val="Heading 2 Char"/>
    <w:basedOn w:val="DefaultParagraphFont"/>
    <w:link w:val="Heading2"/>
    <w:uiPriority w:val="9"/>
    <w:rsid w:val="00335BEB"/>
    <w:rPr>
      <w:rFonts w:ascii="Times New Roman" w:eastAsiaTheme="majorEastAsia" w:hAnsi="Times New Roman" w:cstheme="majorBidi"/>
      <w:color w:val="000000" w:themeColor="text1"/>
      <w:sz w:val="26"/>
      <w:szCs w:val="26"/>
    </w:rPr>
  </w:style>
  <w:style w:type="character" w:styleId="Emphasis">
    <w:name w:val="Emphasis"/>
    <w:basedOn w:val="DefaultParagraphFont"/>
    <w:uiPriority w:val="20"/>
    <w:qFormat/>
    <w:rsid w:val="00396419"/>
    <w:rPr>
      <w:i/>
      <w:iCs/>
    </w:rPr>
  </w:style>
  <w:style w:type="character" w:styleId="Hyperlink">
    <w:name w:val="Hyperlink"/>
    <w:basedOn w:val="DefaultParagraphFont"/>
    <w:uiPriority w:val="99"/>
    <w:semiHidden/>
    <w:unhideWhenUsed/>
    <w:rsid w:val="0039641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fao.org/plant-health-2020/about/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1042</TotalTime>
  <Pages>1</Pages>
  <Words>453</Words>
  <Characters>2587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2026-05-04T15:40:00Z</dcterms:created>
  <dcterms:modified xsi:type="dcterms:W3CDTF">2026-05-05T09:02:00Z</dcterms:modified>
</cp:coreProperties>
</file>