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7.png" ContentType="image/png"/>
  <Override PartName="/word/media/rId41.png" ContentType="image/png"/>
  <Override PartName="/word/media/rId53.png" ContentType="image/pn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Minimal discrete matches for target grain size distributions</w:t>
      </w:r>
    </w:p>
    <w:p>
      <w:pPr>
        <w:pStyle w:val="Author"/>
      </w:pPr>
      <w:r>
        <w:t xml:space="preserve">Lorne Arnold</w:t>
      </w:r>
    </w:p>
    <w:bookmarkStart w:id="20" w:name="abstract"/>
    <w:p>
      <w:pPr>
        <w:pStyle w:val="Heading2"/>
      </w:pPr>
      <w:r>
        <w:t xml:space="preserve">Abstract</w:t>
      </w:r>
    </w:p>
    <w:p>
      <w:pPr>
        <w:pStyle w:val="FirstParagraph"/>
      </w:pPr>
      <w:r>
        <w:t xml:space="preserve">Soil is fundamentally a discrete material that is, nevertheless, commonly modeled as a continuum in part because of the computational expense of large-scale discrete element models (DEMs).</w:t>
      </w:r>
      <w:r>
        <w:t xml:space="preserve"> </w:t>
      </w:r>
      <w:r>
        <w:t xml:space="preserve">Even at lab specimen scales, DEM’s computational cost may be substantial depending on the grain sizes being modeled.</w:t>
      </w:r>
      <w:r>
        <w:t xml:space="preserve"> </w:t>
      </w:r>
      <w:r>
        <w:t xml:space="preserve">Despite these limitations, discrete models have proven useful in furthering our understanding of soil mechanics because they can spontaneously replicate realistic soil behavior as an emergent macro-scale property from a collection of particles following relatively simple interaction rules.</w:t>
      </w:r>
      <w:r>
        <w:t xml:space="preserve"> </w:t>
      </w:r>
      <w:r>
        <w:t xml:space="preserve">This makes DEM an attractive tool for a multi-scale modeling approach where the constitutive behavior of a representative volume element (RVE) is characterized with a discrete model and applied at a larger scale through a continuum model.</w:t>
      </w:r>
      <w:r>
        <w:t xml:space="preserve"> </w:t>
      </w:r>
      <w:r>
        <w:t xml:space="preserve">The ability of the RVE to represent a soil depends strongly on an appropriate grain size distribution match.</w:t>
      </w:r>
      <w:r>
        <w:t xml:space="preserve"> </w:t>
      </w:r>
      <w:r>
        <w:t xml:space="preserve">However, in order to achieve computationally feasible models, even at lab scales, DEM simulations often use larger minimum particle sizes and more uniform distributions than their intended targets.</w:t>
      </w:r>
      <w:r>
        <w:t xml:space="preserve"> </w:t>
      </w:r>
      <w:r>
        <w:t xml:space="preserve">Intuitively, discrete matches of different grain size distributions (GSDs) will require vastly different numbers of particles.</w:t>
      </w:r>
      <w:r>
        <w:t xml:space="preserve"> </w:t>
      </w:r>
      <w:r>
        <w:t xml:space="preserve">But the precise relationship between GSD characteristics and the number of particles needed to match the distribution (and by extension the associated computational cost associated) is not intuitive.</w:t>
      </w:r>
      <w:r>
        <w:t xml:space="preserve"> </w:t>
      </w:r>
      <w:r>
        <w:t xml:space="preserve">In this paper, we present the minimal discrete match (MDM) concept.</w:t>
      </w:r>
      <w:r>
        <w:t xml:space="preserve"> </w:t>
      </w:r>
      <w:r>
        <w:t xml:space="preserve">The minimal packing set is the smallest set of discrete particles needed to match a given GSD.</w:t>
      </w:r>
      <w:r>
        <w:t xml:space="preserve"> </w:t>
      </w:r>
      <w:r>
        <w:t xml:space="preserve">We present a method for determining the MDM for any GSD and discuss strategies for finding the smallest MDM within a set of tolerances on the GSD.</w:t>
      </w:r>
      <w:r>
        <w:t xml:space="preserve"> </w:t>
      </w:r>
      <w:r>
        <w:t xml:space="preserve">A mapping of USCS classification and MDM reveals a broad distribution of computational cost over several orders of magnitude for granular soils.</w:t>
      </w:r>
    </w:p>
    <w:bookmarkEnd w:id="20"/>
    <w:bookmarkStart w:id="21" w:name="keywords"/>
    <w:p>
      <w:pPr>
        <w:pStyle w:val="Heading2"/>
      </w:pPr>
      <w:r>
        <w:t xml:space="preserve">Keywords</w:t>
      </w:r>
    </w:p>
    <w:p>
      <w:pPr>
        <w:pStyle w:val="FirstParagraph"/>
      </w:pPr>
      <w:r>
        <w:t xml:space="preserve">Discrete soil description, analytical solutions, open-source algorithms, computational cost</w:t>
      </w:r>
    </w:p>
    <w:bookmarkEnd w:id="21"/>
    <w:bookmarkStart w:id="22" w:name="introduction"/>
    <w:p>
      <w:pPr>
        <w:pStyle w:val="Heading2"/>
      </w:pPr>
      <w:r>
        <w:t xml:space="preserve">Introduction</w:t>
      </w:r>
    </w:p>
    <w:p>
      <w:pPr>
        <w:pStyle w:val="FirstParagraph"/>
      </w:pPr>
      <w:r>
        <w:t xml:space="preserve">Soil is a fundamentally discrete granular material whose complex mechanical behavior emerges from the numerous interactions between its constituent parts.</w:t>
      </w:r>
      <w:r>
        <w:t xml:space="preserve"> </w:t>
      </w:r>
      <w:r>
        <w:t xml:space="preserve">The discrete element method (DEM), introduced by</w:t>
      </w:r>
      <w:r>
        <w:t xml:space="preserve"> </w:t>
      </w:r>
      <w:r>
        <w:t xml:space="preserve">Cundall and Strack (1979)</w:t>
      </w:r>
      <w:r>
        <w:t xml:space="preserve">, has proven to be a powerful tool in exploring the inter-particle interactions of granular assemblies.</w:t>
      </w:r>
      <w:r>
        <w:t xml:space="preserve"> </w:t>
      </w:r>
      <w:r>
        <w:t xml:space="preserve">With DEM, a vast parametric space exists where grain sizes, shapes, contact models, etc. can be systematically varied and their influences on macro-scale assembly behavior can be quantified.</w:t>
      </w:r>
    </w:p>
    <w:p>
      <w:pPr>
        <w:pStyle w:val="BodyText"/>
      </w:pPr>
      <w:r>
        <w:t xml:space="preserve">These models pose several challenges that must be managed in order for their benefits to be realized.</w:t>
      </w:r>
      <w:r>
        <w:t xml:space="preserve"> </w:t>
      </w:r>
      <w:r>
        <w:t xml:space="preserve">Due to the number of elements involved in typical DEM simulations, both the computational resources needed to run them and the ability to characterize and interpret them are non-trivial.</w:t>
      </w:r>
      <w:r>
        <w:t xml:space="preserve"> </w:t>
      </w:r>
      <w:r>
        <w:t xml:space="preserve">Over the years, the number of particles used in DEM simulations has increased, but not proportionally to the reduction in costs of computational resources.</w:t>
      </w:r>
      <w:r>
        <w:t xml:space="preserve"> </w:t>
      </w:r>
      <w:r>
        <w:t xml:space="preserve">O’Sullivan (2014)</w:t>
      </w:r>
      <w:r>
        <w:t xml:space="preserve"> </w:t>
      </w:r>
      <w:r>
        <w:t xml:space="preserve">showed that the order of magnitude of average number of particles in DEM simulations increased substantially from 1998 to 2014, from approx.</w:t>
      </w:r>
      <w:r>
        <w:t xml:space="preserve"> </w:t>
      </w:r>
      <m:oMath>
        <m:r>
          <m:rPr>
            <m:sty m:val="p"/>
            <m:scr m:val="script"/>
          </m:rPr>
          <m:t>O</m:t>
        </m:r>
        <m:d>
          <m:dPr>
            <m:begChr m:val="("/>
            <m:endChr m:val=")"/>
            <m:sepChr m:val=""/>
            <m:grow/>
          </m:dPr>
          <m:e>
            <m:sSup>
              <m:e>
                <m:r>
                  <m:t>10</m:t>
                </m:r>
              </m:e>
              <m:sup>
                <m:r>
                  <m:t>3</m:t>
                </m:r>
              </m:sup>
            </m:sSup>
          </m:e>
        </m:d>
      </m:oMath>
      <w:r>
        <w:t xml:space="preserve"> </w:t>
      </w:r>
      <w:r>
        <w:t xml:space="preserve">to</w:t>
      </w:r>
      <w:r>
        <w:t xml:space="preserve"> </w:t>
      </w:r>
      <m:oMath>
        <m:r>
          <m:rPr>
            <m:sty m:val="p"/>
            <m:scr m:val="script"/>
          </m:rPr>
          <m:t>O</m:t>
        </m:r>
        <m:d>
          <m:dPr>
            <m:begChr m:val="("/>
            <m:endChr m:val=")"/>
            <m:sepChr m:val=""/>
            <m:grow/>
          </m:dPr>
          <m:e>
            <m:sSup>
              <m:e>
                <m:r>
                  <m:t>10</m:t>
                </m:r>
              </m:e>
              <m:sup>
                <m:r>
                  <m:t>5</m:t>
                </m:r>
              </m:sup>
            </m:sSup>
          </m:e>
        </m:d>
      </m:oMath>
      <w:r>
        <w:t xml:space="preserve">, but fell far short of the</w:t>
      </w:r>
      <w:r>
        <w:t xml:space="preserve"> </w:t>
      </w:r>
      <m:oMath>
        <m:r>
          <m:rPr>
            <m:sty m:val="p"/>
            <m:scr m:val="script"/>
          </m:rPr>
          <m:t>O</m:t>
        </m:r>
        <m:d>
          <m:dPr>
            <m:begChr m:val="("/>
            <m:endChr m:val=")"/>
            <m:sepChr m:val=""/>
            <m:grow/>
          </m:dPr>
          <m:e>
            <m:sSup>
              <m:e>
                <m:r>
                  <m:t>10</m:t>
                </m:r>
              </m:e>
              <m:sup>
                <m:r>
                  <m:t>7</m:t>
                </m:r>
              </m:sup>
            </m:sSup>
          </m:e>
        </m:d>
      </m:oMath>
      <w:r>
        <w:t xml:space="preserve"> </w:t>
      </w:r>
      <w:r>
        <w:t xml:space="preserve">predicted by</w:t>
      </w:r>
      <w:r>
        <w:t xml:space="preserve"> </w:t>
      </w:r>
      <w:r>
        <w:t xml:space="preserve">Cundall (2001)</w:t>
      </w:r>
      <w:r>
        <w:t xml:space="preserve"> </w:t>
      </w:r>
      <w:r>
        <w:t xml:space="preserve">for</w:t>
      </w:r>
      <w:r>
        <w:t xml:space="preserve"> </w:t>
      </w:r>
      <w:r>
        <w:t xml:space="preserve">“easy”</w:t>
      </w:r>
      <w:r>
        <w:t xml:space="preserve"> </w:t>
      </w:r>
      <w:r>
        <w:t xml:space="preserve">geomechanics problems by 2011.</w:t>
      </w:r>
      <w:r>
        <w:t xml:space="preserve"> </w:t>
      </w:r>
      <w:r>
        <w:t xml:space="preserve">More recent publications in DEM have shown that orders ranging from</w:t>
      </w:r>
      <w:r>
        <w:t xml:space="preserve"> </w:t>
      </w:r>
      <m:oMath>
        <m:r>
          <m:rPr>
            <m:sty m:val="p"/>
            <m:scr m:val="script"/>
          </m:rPr>
          <m:t>O</m:t>
        </m:r>
        <m:d>
          <m:dPr>
            <m:begChr m:val="("/>
            <m:endChr m:val=")"/>
            <m:sepChr m:val=""/>
            <m:grow/>
          </m:dPr>
          <m:e>
            <m:sSup>
              <m:e>
                <m:r>
                  <m:t>10</m:t>
                </m:r>
              </m:e>
              <m:sup>
                <m:r>
                  <m:t>6</m:t>
                </m:r>
              </m:sup>
            </m:sSup>
          </m:e>
        </m:d>
      </m:oMath>
      <w:r>
        <w:t xml:space="preserve"> </w:t>
      </w:r>
      <w:r>
        <w:t xml:space="preserve">(</w:t>
      </w:r>
      <w:r>
        <w:t xml:space="preserve">Sufian et al. (2021)</w:t>
      </w:r>
      <w:r>
        <w:t xml:space="preserve">,</w:t>
      </w:r>
      <w:r>
        <w:t xml:space="preserve"> </w:t>
      </w:r>
      <w:r>
        <w:t xml:space="preserve">Dong, Yan, and Cui (2022)</w:t>
      </w:r>
      <w:r>
        <w:t xml:space="preserve">) to</w:t>
      </w:r>
      <w:r>
        <w:t xml:space="preserve"> </w:t>
      </w:r>
      <m:oMath>
        <m:r>
          <m:rPr>
            <m:sty m:val="p"/>
            <m:scr m:val="script"/>
          </m:rPr>
          <m:t>O</m:t>
        </m:r>
        <m:d>
          <m:dPr>
            <m:begChr m:val="("/>
            <m:endChr m:val=")"/>
            <m:sepChr m:val=""/>
            <m:grow/>
          </m:dPr>
          <m:e>
            <m:sSup>
              <m:e>
                <m:r>
                  <m:t>10</m:t>
                </m:r>
              </m:e>
              <m:sup>
                <m:r>
                  <m:t>8</m:t>
                </m:r>
              </m:sup>
            </m:sSup>
          </m:e>
        </m:d>
      </m:oMath>
      <w:r>
        <w:t xml:space="preserve"> </w:t>
      </w:r>
      <w:r>
        <w:t xml:space="preserve">(</w:t>
      </w:r>
      <w:r>
        <w:t xml:space="preserve">Fang et al. (2021)</w:t>
      </w:r>
      <w:r>
        <w:t xml:space="preserve">,</w:t>
      </w:r>
      <w:r>
        <w:t xml:space="preserve"> </w:t>
      </w:r>
      <w:r>
        <w:t xml:space="preserve">Zhang et al. (2024)</w:t>
      </w:r>
      <w:r>
        <w:t xml:space="preserve">) are possible, but rare and require high performance computing resources.</w:t>
      </w:r>
    </w:p>
    <w:p>
      <w:pPr>
        <w:pStyle w:val="BodyText"/>
      </w:pPr>
      <w:r>
        <w:t xml:space="preserve">Because of the computational cost, DEM simulations whose particles approach realistic grain sizes generally model at the representative volume element (RVE) scale.</w:t>
      </w:r>
      <w:r>
        <w:t xml:space="preserve"> </w:t>
      </w:r>
      <w:r>
        <w:t xml:space="preserve">Several nuances to the RVE concept exist, but broadly speaking, the RVE represents the smallest volume of material to exhibit statistically consistent macro-scale behavior as its source material.</w:t>
      </w:r>
      <w:r>
        <w:t xml:space="preserve"> </w:t>
      </w:r>
      <w:r>
        <w:t xml:space="preserve">In physical laboratory experiments and discrete numerical experiments, study samples sufficiently large to behave as an RVE is critical to the broader applicability of the results.</w:t>
      </w:r>
    </w:p>
    <w:p>
      <w:pPr>
        <w:pStyle w:val="BodyText"/>
      </w:pPr>
      <w:r>
        <w:t xml:space="preserve">The RVE depends on several factors including the GSD and the behavior of interest.</w:t>
      </w:r>
      <w:r>
        <w:t xml:space="preserve"> </w:t>
      </w:r>
      <w:r>
        <w:t xml:space="preserve">Samples with larger maximum particle sizes will have larger RVEs.</w:t>
      </w:r>
      <w:r>
        <w:t xml:space="preserve"> </w:t>
      </w:r>
      <w:r>
        <w:t xml:space="preserve">Depending on the GSD, loading conditions, and behavior of interest, the minimum particle size expected to participate mechanically in the soil matrix may be substantially smaller than the largest particle size.</w:t>
      </w:r>
      <w:r>
        <w:t xml:space="preserve"> </w:t>
      </w:r>
      <w:r>
        <w:t xml:space="preserve">Intuitively then, with increasing GSD breadth, the number of particles needed in a DEM simulation of granular assemblies will also increase.</w:t>
      </w:r>
      <w:r>
        <w:t xml:space="preserve"> </w:t>
      </w:r>
      <w:r>
        <w:t xml:space="preserve">The ratio of minimum and maximum particle sizes is, therefore, a significant and often reported parameter in describing DEM models.</w:t>
      </w:r>
      <w:r>
        <w:t xml:space="preserve"> </w:t>
      </w:r>
      <w:r>
        <w:t xml:space="preserve">Often, matching the true GSD of interest (e.g., from a physical soil sample) is sacrificed for computational efficiency, for example by upscaling the target GSD</w:t>
      </w:r>
      <w:r>
        <w:t xml:space="preserve"> </w:t>
      </w:r>
      <w:r>
        <w:t xml:space="preserve">(Zeraati-Shamsabadi and Sadrekarimi 2025)</w:t>
      </w:r>
      <w:r>
        <w:t xml:space="preserve">.</w:t>
      </w:r>
    </w:p>
    <w:p>
      <w:pPr>
        <w:pStyle w:val="BodyText"/>
      </w:pPr>
      <w:r>
        <w:t xml:space="preserve">While the insights we gain from DEM simulations with upscaled or truncated GSDs are valuable, they come with acknowledged limitations on their broader applicability to natural soil fabrics.</w:t>
      </w:r>
      <w:r>
        <w:t xml:space="preserve"> </w:t>
      </w:r>
      <w:r>
        <w:t xml:space="preserve">It becomes an important experimental design consideration, then, to understand the relative computational costs associated with different grain size distributions.</w:t>
      </w:r>
      <w:r>
        <w:t xml:space="preserve"> </w:t>
      </w:r>
      <w:r>
        <w:t xml:space="preserve">The number of particles needed to represent a GSD can be calculated for specific assumed distributions (e.g., self-similar fractal distributions</w:t>
      </w:r>
      <w:r>
        <w:t xml:space="preserve"> </w:t>
      </w:r>
      <w:r>
        <w:t xml:space="preserve">Tyler and Wheatcraft (1992)</w:t>
      </w:r>
      <w:r>
        <w:t xml:space="preserve">).</w:t>
      </w:r>
      <w:r>
        <w:t xml:space="preserve"> </w:t>
      </w:r>
      <w:r>
        <w:t xml:space="preserve">However, these methods assume a representative particle size within a given range, rather than optimizing it and are not applicable to GSDs not fitting their underlying shape assumptions.</w:t>
      </w:r>
      <w:r>
        <w:t xml:space="preserve"> </w:t>
      </w:r>
      <w:r>
        <w:t xml:space="preserve">For general GSDs, particularly when a specific physical soil is being modeled, an ideal approach would be an analytical solution to the minimum number of particles required to reproduce the GSD.</w:t>
      </w:r>
    </w:p>
    <w:p>
      <w:pPr>
        <w:pStyle w:val="BodyText"/>
      </w:pPr>
      <w:r>
        <w:t xml:space="preserve">This paper introduces such an approach through the minimal discrete match (MDM) concept.</w:t>
      </w:r>
      <w:r>
        <w:t xml:space="preserve"> </w:t>
      </w:r>
      <w:r>
        <w:t xml:space="preserve">The minimal packing set is the smallest set of discrete particles needed to match a given grain size distribution by mass.</w:t>
      </w:r>
      <w:r>
        <w:t xml:space="preserve"> </w:t>
      </w:r>
      <w:r>
        <w:t xml:space="preserve">Note that the MDM is based on mass-volume relationships only, not mechanical behavior.</w:t>
      </w:r>
      <w:r>
        <w:t xml:space="preserve"> </w:t>
      </w:r>
      <w:r>
        <w:t xml:space="preserve">Therefore, it represents an important component to determining RVE and relative computational cost, but it is not equivalent to an RVE.</w:t>
      </w:r>
      <w:r>
        <w:t xml:space="preserve"> </w:t>
      </w:r>
      <w:r>
        <w:t xml:space="preserve">In order to characterize the MDM, descriptions of grain size distributions and granular samples are presented as mathematical sets and the rules describing several relationships between the sets are defined.</w:t>
      </w:r>
      <w:r>
        <w:t xml:space="preserve"> </w:t>
      </w:r>
      <w:r>
        <w:t xml:space="preserve">Using these definitions, a simple algorithm is shown to efficiently identify the MDM.</w:t>
      </w:r>
      <w:r>
        <w:t xml:space="preserve"> </w:t>
      </w:r>
      <w:r>
        <w:t xml:space="preserve">The results show a broad range of MDM magnitudes over several GSDs of interest in geotechnical engineering.</w:t>
      </w:r>
      <w:r>
        <w:t xml:space="preserve"> </w:t>
      </w:r>
      <w:r>
        <w:t xml:space="preserve">The MDM algorithm is implemented in an open-source Python module, available on GitHub.</w:t>
      </w:r>
    </w:p>
    <w:bookmarkEnd w:id="22"/>
    <w:bookmarkStart w:id="39" w:name="discrete-definitions"/>
    <w:p>
      <w:pPr>
        <w:pStyle w:val="Heading2"/>
      </w:pPr>
      <w:r>
        <w:t xml:space="preserve">Discrete definitions</w:t>
      </w:r>
    </w:p>
    <w:p>
      <w:pPr>
        <w:pStyle w:val="FirstParagraph"/>
      </w:pPr>
      <w:r>
        <w:t xml:space="preserve">Identifying the mimimal discrete match requires rigorous mathematical definitions for particulate samples,</w:t>
      </w:r>
      <w:r>
        <w:t xml:space="preserve"> </w:t>
      </w:r>
      <m:oMath>
        <m:r>
          <m:t>S</m:t>
        </m:r>
      </m:oMath>
      <w:r>
        <w:t xml:space="preserve">, and grain size distributions,</w:t>
      </w:r>
      <w:r>
        <w:t xml:space="preserve"> </w:t>
      </w:r>
      <m:oMath>
        <m:r>
          <m:t>G</m:t>
        </m:r>
      </m:oMath>
      <w:r>
        <w:t xml:space="preserve">.</w:t>
      </w:r>
      <w:r>
        <w:t xml:space="preserve"> </w:t>
      </w:r>
      <w:r>
        <w:t xml:space="preserve">Conceptually, each of these are collections of items (i.e., sets) with specific restrictions.</w:t>
      </w:r>
    </w:p>
    <w:bookmarkStart w:id="27" w:name="sample-definition"/>
    <w:p>
      <w:pPr>
        <w:pStyle w:val="Heading3"/>
      </w:pPr>
      <w:r>
        <w:t xml:space="preserve">Sample definition</w:t>
      </w:r>
    </w:p>
    <w:p>
      <w:pPr>
        <w:pStyle w:val="FirstParagraph"/>
      </w:pPr>
      <w:r>
        <w:t xml:space="preserve">A sample,</w:t>
      </w:r>
      <w:r>
        <w:t xml:space="preserve"> </w:t>
      </w:r>
      <m:oMath>
        <m:r>
          <m:t>S</m:t>
        </m:r>
      </m:oMath>
      <w:r>
        <w:t xml:space="preserve"> </w:t>
      </w:r>
      <w:r>
        <w:t xml:space="preserve">is an indexed set describing its particles as pairs of size,</w:t>
      </w:r>
      <w:r>
        <w:t xml:space="preserve"> </w:t>
      </w:r>
      <m:oMath>
        <m:sSub>
          <m:e>
            <m:r>
              <m:t>X</m:t>
            </m:r>
          </m:e>
          <m:sub>
            <m:r>
              <m:t>S</m:t>
            </m:r>
          </m:sub>
        </m:sSub>
      </m:oMath>
      <w:r>
        <w:t xml:space="preserve">, and quantity,</w:t>
      </w:r>
      <w:r>
        <w:t xml:space="preserve"> </w:t>
      </w:r>
      <m:oMath>
        <m:sSub>
          <m:e>
            <m:r>
              <m:t>Q</m:t>
            </m:r>
          </m:e>
          <m:sub>
            <m:r>
              <m:t>S</m:t>
            </m:r>
          </m:sub>
        </m:sSub>
      </m:oMath>
      <w:r>
        <w:t xml:space="preserve">.</w:t>
      </w:r>
      <w:r>
        <w:t xml:space="preserve"> </w:t>
      </w:r>
      <m:oMath>
        <m:sSub>
          <m:e>
            <m:r>
              <m:t>X</m:t>
            </m:r>
          </m:e>
          <m:sub>
            <m:r>
              <m:t>S</m:t>
            </m:r>
          </m:sub>
        </m:sSub>
      </m:oMath>
      <w:r>
        <w:t xml:space="preserve"> </w:t>
      </w:r>
      <w:r>
        <w:t xml:space="preserve">is an ordered (i.e., each entry is larger than the previous) set of unique values of positive real numbers.</w:t>
      </w:r>
      <w:r>
        <w:t xml:space="preserve"> </w:t>
      </w:r>
      <m:oMath>
        <m:sSub>
          <m:e>
            <m:r>
              <m:t>Q</m:t>
            </m:r>
          </m:e>
          <m:sub>
            <m:r>
              <m:t>s</m:t>
            </m:r>
          </m:sub>
        </m:sSub>
      </m:oMath>
      <w:r>
        <w:t xml:space="preserve"> </w:t>
      </w:r>
      <w:r>
        <w:t xml:space="preserve">is an unordered set of positive integers related to</w:t>
      </w:r>
      <w:r>
        <w:t xml:space="preserve"> </w:t>
      </w:r>
      <m:oMath>
        <m:sSub>
          <m:e>
            <m:r>
              <m:t>X</m:t>
            </m:r>
          </m:e>
          <m:sub>
            <m:r>
              <m:t>S</m:t>
            </m:r>
          </m:sub>
        </m:sSub>
      </m:oMath>
      <w:r>
        <w:t xml:space="preserve"> </w:t>
      </w:r>
      <w:r>
        <w:t xml:space="preserve">by a shared indexing set for the sample,</w:t>
      </w:r>
      <w:r>
        <w:t xml:space="preserve"> </w:t>
      </w:r>
      <m:oMath>
        <m:sSub>
          <m:e>
            <m:r>
              <m:t>I</m:t>
            </m:r>
          </m:e>
          <m:sub>
            <m:r>
              <m:t>S</m:t>
            </m:r>
          </m:sub>
        </m:sSub>
      </m:oMath>
      <w:r>
        <w:t xml:space="preserve">.</w:t>
      </w:r>
    </w:p>
    <w:p>
      <w:pPr>
        <w:pStyle w:val="BodyText"/>
      </w:pPr>
      <w:bookmarkStart w:id="23" w:name="eq-sample_def"/>
      <m:oMathPara>
        <m:oMathParaPr>
          <m:jc m:val="center"/>
        </m:oMathParaPr>
        <m:oMath>
          <m:r>
            <m:t>S</m:t>
          </m:r>
          <m:r>
            <m:rPr>
              <m:sty m:val="p"/>
            </m:rPr>
            <m:t>=</m:t>
          </m:r>
          <m:r>
            <m:rPr>
              <m:sty m:val="p"/>
            </m:rPr>
            <m:t>{</m:t>
          </m:r>
          <m:d>
            <m:dPr>
              <m:begChr m:val="("/>
              <m:endChr m:val=")"/>
              <m:sepChr m:val=""/>
              <m:grow/>
            </m:dPr>
            <m:e>
              <m:r>
                <m:t>X</m:t>
              </m:r>
              <m:r>
                <m:rPr>
                  <m:sty m:val="p"/>
                </m:rPr>
                <m:t>,</m:t>
              </m:r>
              <m:r>
                <m:t>Q</m:t>
              </m:r>
            </m:e>
          </m:d>
          <m:r>
            <m:rPr>
              <m:sty m:val="p"/>
            </m:rPr>
            <m:t>∈</m:t>
          </m:r>
          <m:sSub>
            <m:e>
              <m:r>
                <m:t>I</m:t>
              </m:r>
            </m:e>
            <m:sub>
              <m:r>
                <m:t>S</m:t>
              </m:r>
            </m:sub>
          </m:sSub>
          <m:r>
            <m:rPr>
              <m:sty m:val="p"/>
            </m:rPr>
            <m:t>}</m:t>
          </m:r>
          <m:r>
            <m:t>  </m:t>
          </m:r>
          <m:d>
            <m:dPr>
              <m:begChr m:val="("/>
              <m:endChr m:val=")"/>
              <m:sepChr m:val=""/>
              <m:grow/>
            </m:dPr>
            <m:e>
              <m:r>
                <m:t>1</m:t>
              </m:r>
            </m:e>
          </m:d>
        </m:oMath>
      </m:oMathPara>
      <w:bookmarkEnd w:id="23"/>
    </w:p>
    <w:p>
      <w:pPr>
        <w:pStyle w:val="FirstParagraph"/>
      </w:pPr>
      <w:r>
        <w:t xml:space="preserve">where:</w:t>
      </w:r>
    </w:p>
    <w:p>
      <w:pPr>
        <w:pStyle w:val="BodyText"/>
      </w:pPr>
      <w:bookmarkStart w:id="24" w:name="eq-size_sample"/>
      <m:oMathPara>
        <m:oMathParaPr>
          <m:jc m:val="center"/>
        </m:oMathParaPr>
        <m:oMath>
          <m:sSub>
            <m:e>
              <m:r>
                <m:t>X</m:t>
              </m:r>
            </m:e>
            <m:sub>
              <m:r>
                <m:t>S</m:t>
              </m:r>
            </m:sub>
          </m:sSub>
          <m:r>
            <m:rPr>
              <m:sty m:val="p"/>
            </m:rPr>
            <m:t>=</m:t>
          </m:r>
          <m:r>
            <m:rPr>
              <m:sty m:val="p"/>
            </m:rPr>
            <m:t>{</m:t>
          </m:r>
          <m:sSub>
            <m:e>
              <m:r>
                <m:t>x</m:t>
              </m:r>
            </m:e>
            <m:sub>
              <m:r>
                <m:t>i</m:t>
              </m:r>
            </m:sub>
          </m:sSub>
          <m:r>
            <m:rPr>
              <m:sty m:val="p"/>
            </m:rPr>
            <m:t>:</m:t>
          </m:r>
          <m:r>
            <m:t>i</m:t>
          </m:r>
          <m:r>
            <m:rPr>
              <m:sty m:val="p"/>
            </m:rPr>
            <m:t>∈</m:t>
          </m:r>
          <m:sSub>
            <m:e>
              <m:r>
                <m:t>I</m:t>
              </m:r>
            </m:e>
            <m:sub>
              <m:r>
                <m:t>S</m:t>
              </m:r>
            </m:sub>
          </m:sSub>
          <m:r>
            <m:rPr>
              <m:sty m:val="p"/>
            </m:rPr>
            <m:t>}</m:t>
          </m:r>
          <m:r>
            <m:rPr>
              <m:nor/>
              <m:sty m:val="p"/>
            </m:rPr>
            <m:t> with </m:t>
          </m:r>
          <m:sSub>
            <m:e>
              <m:r>
                <m:t>x</m:t>
              </m:r>
            </m:e>
            <m:sub>
              <m:r>
                <m:t>1</m:t>
              </m:r>
            </m:sub>
          </m:sSub>
          <m:r>
            <m:rPr>
              <m:sty m:val="p"/>
            </m:rPr>
            <m:t>&lt;</m:t>
          </m:r>
          <m:sSub>
            <m:e>
              <m:r>
                <m:t>x</m:t>
              </m:r>
            </m:e>
            <m:sub>
              <m:r>
                <m:t>2</m:t>
              </m:r>
            </m:sub>
          </m:sSub>
          <m:r>
            <m:rPr>
              <m:sty m:val="p"/>
            </m:rPr>
            <m:t>&lt;</m:t>
          </m:r>
          <m:r>
            <m:rPr>
              <m:sty m:val="p"/>
            </m:rPr>
            <m:t>⋯</m:t>
          </m:r>
          <m:r>
            <m:rPr>
              <m:sty m:val="p"/>
            </m:rPr>
            <m:t>&lt;</m:t>
          </m:r>
          <m:sSub>
            <m:e>
              <m:r>
                <m:t>x</m:t>
              </m:r>
            </m:e>
            <m:sub>
              <m:sSub>
                <m:e>
                  <m:r>
                    <m:t>n</m:t>
                  </m:r>
                </m:e>
                <m:sub>
                  <m:r>
                    <m:t>S</m:t>
                  </m:r>
                </m:sub>
              </m:sSub>
            </m:sub>
          </m:sSub>
          <m:r>
            <m:t>  </m:t>
          </m:r>
          <m:d>
            <m:dPr>
              <m:begChr m:val="("/>
              <m:endChr m:val=")"/>
              <m:sepChr m:val=""/>
              <m:grow/>
            </m:dPr>
            <m:e>
              <m:r>
                <m:t>2</m:t>
              </m:r>
            </m:e>
          </m:d>
        </m:oMath>
      </m:oMathPara>
      <w:bookmarkEnd w:id="24"/>
    </w:p>
    <w:p>
      <w:pPr>
        <w:pStyle w:val="FirstParagraph"/>
      </w:pPr>
      <w:bookmarkStart w:id="25" w:name="eq-quantity_sample"/>
      <m:oMathPara>
        <m:oMathParaPr>
          <m:jc m:val="center"/>
        </m:oMathParaPr>
        <m:oMath>
          <m:r>
            <m:t>Q</m:t>
          </m:r>
          <m:r>
            <m:rPr>
              <m:sty m:val="p"/>
            </m:rPr>
            <m:t>=</m:t>
          </m:r>
          <m:r>
            <m:rPr>
              <m:sty m:val="p"/>
            </m:rPr>
            <m:t>{</m:t>
          </m:r>
          <m:sSub>
            <m:e>
              <m:r>
                <m:t>q</m:t>
              </m:r>
            </m:e>
            <m:sub>
              <m:r>
                <m:t>i</m:t>
              </m:r>
            </m:sub>
          </m:sSub>
          <m:r>
            <m:rPr>
              <m:sty m:val="p"/>
            </m:rPr>
            <m:t>:</m:t>
          </m:r>
          <m:r>
            <m:t>i</m:t>
          </m:r>
          <m:r>
            <m:rPr>
              <m:sty m:val="p"/>
            </m:rPr>
            <m:t>∈</m:t>
          </m:r>
          <m:sSub>
            <m:e>
              <m:r>
                <m:t>I</m:t>
              </m:r>
            </m:e>
            <m:sub>
              <m:r>
                <m:t>S</m:t>
              </m:r>
            </m:sub>
          </m:sSub>
          <m:r>
            <m:rPr>
              <m:sty m:val="p"/>
            </m:rPr>
            <m:t>}</m:t>
          </m:r>
          <m:r>
            <m:t>  </m:t>
          </m:r>
          <m:d>
            <m:dPr>
              <m:begChr m:val="("/>
              <m:endChr m:val=")"/>
              <m:sepChr m:val=""/>
              <m:grow/>
            </m:dPr>
            <m:e>
              <m:r>
                <m:t>3</m:t>
              </m:r>
            </m:e>
          </m:d>
        </m:oMath>
      </m:oMathPara>
      <w:bookmarkEnd w:id="25"/>
    </w:p>
    <w:p>
      <w:pPr>
        <w:pStyle w:val="FirstParagraph"/>
      </w:pPr>
      <w:bookmarkStart w:id="26" w:name="eq-domains_sample"/>
      <m:oMathPara>
        <m:oMathParaPr>
          <m:jc m:val="center"/>
        </m:oMathParaPr>
        <m:oMath>
          <m:sSub>
            <m:e>
              <m:r>
                <m:t>X</m:t>
              </m:r>
            </m:e>
            <m:sub>
              <m:r>
                <m:t>S</m:t>
              </m:r>
            </m:sub>
          </m:sSub>
          <m:r>
            <m:rPr>
              <m:sty m:val="p"/>
            </m:rPr>
            <m:t>⊂</m:t>
          </m:r>
          <m:sSup>
            <m:e>
              <m:r>
                <m:rPr>
                  <m:sty m:val="p"/>
                  <m:scr m:val="double-struck"/>
                </m:rPr>
                <m:t>R</m:t>
              </m:r>
            </m:e>
            <m:sup>
              <m:r>
                <m:rPr>
                  <m:sty m:val="p"/>
                </m:rPr>
                <m:t>+</m:t>
              </m:r>
            </m:sup>
          </m:sSup>
          <m:r>
            <m:rPr>
              <m:nor/>
              <m:sty m:val="p"/>
            </m:rPr>
            <m:t> and </m:t>
          </m:r>
          <m:r>
            <m:t>Q</m:t>
          </m:r>
          <m:r>
            <m:rPr>
              <m:sty m:val="p"/>
            </m:rPr>
            <m:t>⊂</m:t>
          </m:r>
          <m:sSup>
            <m:e>
              <m:r>
                <m:rPr>
                  <m:sty m:val="p"/>
                  <m:scr m:val="double-struck"/>
                </m:rPr>
                <m:t>Z</m:t>
              </m:r>
            </m:e>
            <m:sup>
              <m:r>
                <m:rPr>
                  <m:sty m:val="p"/>
                </m:rPr>
                <m:t>+</m:t>
              </m:r>
            </m:sup>
          </m:sSup>
          <m:r>
            <m:t>  </m:t>
          </m:r>
          <m:d>
            <m:dPr>
              <m:begChr m:val="("/>
              <m:endChr m:val=")"/>
              <m:sepChr m:val=""/>
              <m:grow/>
            </m:dPr>
            <m:e>
              <m:r>
                <m:t>4</m:t>
              </m:r>
            </m:e>
          </m:d>
        </m:oMath>
      </m:oMathPara>
      <w:bookmarkEnd w:id="26"/>
    </w:p>
    <w:bookmarkEnd w:id="27"/>
    <w:bookmarkStart w:id="32" w:name="grain-size-distribution-definition"/>
    <w:p>
      <w:pPr>
        <w:pStyle w:val="Heading3"/>
      </w:pPr>
      <w:r>
        <w:t xml:space="preserve">Grain size distribution definition</w:t>
      </w:r>
    </w:p>
    <w:p>
      <w:pPr>
        <w:pStyle w:val="FirstParagraph"/>
      </w:pPr>
      <w:r>
        <w:t xml:space="preserve">A grain size distribution,</w:t>
      </w:r>
      <w:r>
        <w:t xml:space="preserve"> </w:t>
      </w:r>
      <m:oMath>
        <m:r>
          <m:t>G</m:t>
        </m:r>
      </m:oMath>
      <w:r>
        <w:t xml:space="preserve">, has a similar structure.</w:t>
      </w:r>
      <w:r>
        <w:t xml:space="preserve"> </w:t>
      </w:r>
      <w:r>
        <w:t xml:space="preserve">It is and indexed set describing size boundaries,</w:t>
      </w:r>
      <w:r>
        <w:t xml:space="preserve"> </w:t>
      </w:r>
      <m:oMath>
        <m:sSub>
          <m:e>
            <m:r>
              <m:t>X</m:t>
            </m:r>
          </m:e>
          <m:sub>
            <m:r>
              <m:t>G</m:t>
            </m:r>
          </m:sub>
        </m:sSub>
      </m:oMath>
      <w:r>
        <w:t xml:space="preserve">, and masses,</w:t>
      </w:r>
      <w:r>
        <w:t xml:space="preserve"> </w:t>
      </w:r>
      <m:oMath>
        <m:sSub>
          <m:e>
            <m:r>
              <m:t>M</m:t>
            </m:r>
          </m:e>
          <m:sub>
            <m:r>
              <m:t>G</m:t>
            </m:r>
          </m:sub>
        </m:sSub>
      </m:oMath>
      <w:r>
        <w:t xml:space="preserve">.</w:t>
      </w:r>
      <w:r>
        <w:t xml:space="preserve"> </w:t>
      </w:r>
      <w:r>
        <w:t xml:space="preserve">Like</w:t>
      </w:r>
      <w:r>
        <w:t xml:space="preserve"> </w:t>
      </w:r>
      <m:oMath>
        <m:sSub>
          <m:e>
            <m:r>
              <m:t>X</m:t>
            </m:r>
          </m:e>
          <m:sub>
            <m:r>
              <m:t>S</m:t>
            </m:r>
          </m:sub>
        </m:sSub>
      </m:oMath>
      <w:r>
        <w:t xml:space="preserve">,</w:t>
      </w:r>
      <w:r>
        <w:t xml:space="preserve"> </w:t>
      </w:r>
      <m:oMath>
        <m:sSub>
          <m:e>
            <m:r>
              <m:t>X</m:t>
            </m:r>
          </m:e>
          <m:sub>
            <m:r>
              <m:t>G</m:t>
            </m:r>
          </m:sub>
        </m:sSub>
      </m:oMath>
      <w:r>
        <w:t xml:space="preserve"> </w:t>
      </w:r>
      <w:r>
        <w:t xml:space="preserve">is an ordered set of unique values, however, it’s domain also includes zero (representing the pan in a typical sieve analysis).</w:t>
      </w:r>
      <w:r>
        <w:t xml:space="preserve"> </w:t>
      </w:r>
      <w:r>
        <w:t xml:space="preserve">Like</w:t>
      </w:r>
      <w:r>
        <w:t xml:space="preserve"> </w:t>
      </w:r>
      <m:oMath>
        <m:sSub>
          <m:e>
            <m:r>
              <m:t>Q</m:t>
            </m:r>
          </m:e>
          <m:sub>
            <m:r>
              <m:t>S</m:t>
            </m:r>
          </m:sub>
        </m:sSub>
      </m:oMath>
      <w:r>
        <w:t xml:space="preserve">,</w:t>
      </w:r>
      <w:r>
        <w:t xml:space="preserve"> </w:t>
      </w:r>
      <m:oMath>
        <m:sSub>
          <m:e>
            <m:r>
              <m:t>M</m:t>
            </m:r>
          </m:e>
          <m:sub>
            <m:r>
              <m:t>G</m:t>
            </m:r>
          </m:sub>
        </m:sSub>
      </m:oMath>
      <w:r>
        <w:t xml:space="preserve"> </w:t>
      </w:r>
      <w:r>
        <w:t xml:space="preserve">shares an index (</w:t>
      </w:r>
      <m:oMath>
        <m:sSub>
          <m:e>
            <m:r>
              <m:t>I</m:t>
            </m:r>
          </m:e>
          <m:sub>
            <m:r>
              <m:t>G</m:t>
            </m:r>
          </m:sub>
        </m:sSub>
      </m:oMath>
      <w:r>
        <w:t xml:space="preserve">) with the size set, but it’s domain is not restricted to integers, only to non-negative real numbers.</w:t>
      </w:r>
      <w:r>
        <w:t xml:space="preserve"> </w:t>
      </w:r>
      <w:r>
        <w:t xml:space="preserve">The values in</w:t>
      </w:r>
      <w:r>
        <w:t xml:space="preserve"> </w:t>
      </w:r>
      <m:oMath>
        <m:sSub>
          <m:e>
            <m:r>
              <m:t>M</m:t>
            </m:r>
          </m:e>
          <m:sub>
            <m:r>
              <m:t>G</m:t>
            </m:r>
          </m:sub>
        </m:sSub>
      </m:oMath>
      <w:r>
        <w:t xml:space="preserve"> </w:t>
      </w:r>
      <w:r>
        <w:t xml:space="preserve">represent the masses retained on a sieve with opening size</w:t>
      </w:r>
      <w:r>
        <w:t xml:space="preserve"> </w:t>
      </w:r>
      <m:oMath>
        <m:sSub>
          <m:e>
            <m:r>
              <m:t>X</m:t>
            </m:r>
          </m:e>
          <m:sub>
            <m:r>
              <m:t>G</m:t>
            </m:r>
          </m:sub>
        </m:sSub>
      </m:oMath>
      <w:r>
        <w:t xml:space="preserve">.</w:t>
      </w:r>
    </w:p>
    <w:p>
      <w:pPr>
        <w:pStyle w:val="BodyText"/>
      </w:pPr>
      <w:bookmarkStart w:id="28" w:name="eq-gsd_def"/>
      <m:oMathPara>
        <m:oMathParaPr>
          <m:jc m:val="center"/>
        </m:oMathParaPr>
        <m:oMath>
          <m:r>
            <m:t>G</m:t>
          </m:r>
          <m:r>
            <m:rPr>
              <m:sty m:val="p"/>
            </m:rPr>
            <m:t>=</m:t>
          </m:r>
          <m:r>
            <m:rPr>
              <m:sty m:val="p"/>
            </m:rPr>
            <m:t>{</m:t>
          </m:r>
          <m:d>
            <m:dPr>
              <m:begChr m:val="("/>
              <m:endChr m:val=")"/>
              <m:sepChr m:val=""/>
              <m:grow/>
            </m:dPr>
            <m:e>
              <m:sSub>
                <m:e>
                  <m:r>
                    <m:t>X</m:t>
                  </m:r>
                </m:e>
                <m:sub>
                  <m:r>
                    <m:t>G</m:t>
                  </m:r>
                </m:sub>
              </m:sSub>
              <m:r>
                <m:rPr>
                  <m:sty m:val="p"/>
                </m:rPr>
                <m:t>,</m:t>
              </m:r>
              <m:sSub>
                <m:e>
                  <m:r>
                    <m:t>M</m:t>
                  </m:r>
                </m:e>
                <m:sub>
                  <m:r>
                    <m:t>G</m:t>
                  </m:r>
                </m:sub>
              </m:sSub>
            </m:e>
          </m:d>
          <m:r>
            <m:rPr>
              <m:sty m:val="p"/>
            </m:rPr>
            <m:t>∈</m:t>
          </m:r>
          <m:sSub>
            <m:e>
              <m:r>
                <m:t>I</m:t>
              </m:r>
            </m:e>
            <m:sub>
              <m:r>
                <m:t>G</m:t>
              </m:r>
            </m:sub>
          </m:sSub>
          <m:r>
            <m:rPr>
              <m:sty m:val="p"/>
            </m:rPr>
            <m:t>}</m:t>
          </m:r>
          <m:r>
            <m:t>  </m:t>
          </m:r>
          <m:d>
            <m:dPr>
              <m:begChr m:val="("/>
              <m:endChr m:val=")"/>
              <m:sepChr m:val=""/>
              <m:grow/>
            </m:dPr>
            <m:e>
              <m:r>
                <m:t>5</m:t>
              </m:r>
            </m:e>
          </m:d>
        </m:oMath>
      </m:oMathPara>
      <w:bookmarkEnd w:id="28"/>
    </w:p>
    <w:p>
      <w:pPr>
        <w:pStyle w:val="FirstParagraph"/>
      </w:pPr>
      <w:r>
        <w:t xml:space="preserve">where:</w:t>
      </w:r>
    </w:p>
    <w:p>
      <w:pPr>
        <w:pStyle w:val="BodyText"/>
      </w:pPr>
      <w:bookmarkStart w:id="29" w:name="eq-size_gsd"/>
      <m:oMathPara>
        <m:oMathParaPr>
          <m:jc m:val="center"/>
        </m:oMathParaPr>
        <m:oMath>
          <m:sSub>
            <m:e>
              <m:r>
                <m:t>X</m:t>
              </m:r>
            </m:e>
            <m:sub>
              <m:r>
                <m:t>G</m:t>
              </m:r>
            </m:sub>
          </m:sSub>
          <m:r>
            <m:rPr>
              <m:sty m:val="p"/>
            </m:rPr>
            <m:t>=</m:t>
          </m:r>
          <m:r>
            <m:rPr>
              <m:sty m:val="p"/>
            </m:rPr>
            <m:t>{</m:t>
          </m:r>
          <m:sSub>
            <m:e>
              <m:r>
                <m:t>x</m:t>
              </m:r>
            </m:e>
            <m:sub>
              <m:r>
                <m:t>j</m:t>
              </m:r>
            </m:sub>
          </m:sSub>
          <m:r>
            <m:rPr>
              <m:sty m:val="p"/>
            </m:rPr>
            <m:t>:</m:t>
          </m:r>
          <m:r>
            <m:t>j</m:t>
          </m:r>
          <m:r>
            <m:rPr>
              <m:sty m:val="p"/>
            </m:rPr>
            <m:t>∈</m:t>
          </m:r>
          <m:sSub>
            <m:e>
              <m:r>
                <m:t>I</m:t>
              </m:r>
            </m:e>
            <m:sub>
              <m:r>
                <m:t>G</m:t>
              </m:r>
            </m:sub>
          </m:sSub>
          <m:r>
            <m:rPr>
              <m:sty m:val="p"/>
            </m:rPr>
            <m:t>}</m:t>
          </m:r>
          <m:r>
            <m:rPr>
              <m:nor/>
              <m:sty m:val="p"/>
            </m:rPr>
            <m:t> where </m:t>
          </m:r>
          <m:sSub>
            <m:e>
              <m:r>
                <m:t>x</m:t>
              </m:r>
            </m:e>
            <m:sub>
              <m:r>
                <m:t>1</m:t>
              </m:r>
            </m:sub>
          </m:sSub>
          <m:r>
            <m:rPr>
              <m:sty m:val="p"/>
            </m:rPr>
            <m:t>&lt;</m:t>
          </m:r>
          <m:sSub>
            <m:e>
              <m:r>
                <m:t>x</m:t>
              </m:r>
            </m:e>
            <m:sub>
              <m:r>
                <m:t>2</m:t>
              </m:r>
            </m:sub>
          </m:sSub>
          <m:r>
            <m:rPr>
              <m:sty m:val="p"/>
            </m:rPr>
            <m:t>&lt;</m:t>
          </m:r>
          <m:r>
            <m:rPr>
              <m:sty m:val="p"/>
            </m:rPr>
            <m:t>⋯</m:t>
          </m:r>
          <m:r>
            <m:rPr>
              <m:sty m:val="p"/>
            </m:rPr>
            <m:t>&lt;</m:t>
          </m:r>
          <m:sSub>
            <m:e>
              <m:r>
                <m:t>x</m:t>
              </m:r>
            </m:e>
            <m:sub>
              <m:sSub>
                <m:e>
                  <m:r>
                    <m:t>n</m:t>
                  </m:r>
                </m:e>
                <m:sub>
                  <m:r>
                    <m:t>G</m:t>
                  </m:r>
                </m:sub>
              </m:sSub>
            </m:sub>
          </m:sSub>
          <m:r>
            <m:t>  </m:t>
          </m:r>
          <m:d>
            <m:dPr>
              <m:begChr m:val="("/>
              <m:endChr m:val=")"/>
              <m:sepChr m:val=""/>
              <m:grow/>
            </m:dPr>
            <m:e>
              <m:r>
                <m:t>6</m:t>
              </m:r>
            </m:e>
          </m:d>
        </m:oMath>
      </m:oMathPara>
      <w:bookmarkEnd w:id="29"/>
    </w:p>
    <w:p>
      <w:pPr>
        <w:pStyle w:val="FirstParagraph"/>
      </w:pPr>
      <w:bookmarkStart w:id="30" w:name="eq-mass_gsd"/>
      <m:oMathPara>
        <m:oMathParaPr>
          <m:jc m:val="center"/>
        </m:oMathParaPr>
        <m:oMath>
          <m:r>
            <m:t>M</m:t>
          </m:r>
          <m:r>
            <m:rPr>
              <m:sty m:val="p"/>
            </m:rPr>
            <m:t>=</m:t>
          </m:r>
          <m:r>
            <m:rPr>
              <m:sty m:val="p"/>
            </m:rPr>
            <m:t>{</m:t>
          </m:r>
          <m:sSub>
            <m:e>
              <m:r>
                <m:t>m</m:t>
              </m:r>
            </m:e>
            <m:sub>
              <m:r>
                <m:t>j</m:t>
              </m:r>
            </m:sub>
          </m:sSub>
          <m:r>
            <m:rPr>
              <m:sty m:val="p"/>
            </m:rPr>
            <m:t>:</m:t>
          </m:r>
          <m:r>
            <m:t>j</m:t>
          </m:r>
          <m:r>
            <m:rPr>
              <m:sty m:val="p"/>
            </m:rPr>
            <m:t>∈</m:t>
          </m:r>
          <m:sSub>
            <m:e>
              <m:r>
                <m:t>I</m:t>
              </m:r>
            </m:e>
            <m:sub>
              <m:r>
                <m:t>G</m:t>
              </m:r>
            </m:sub>
          </m:sSub>
          <m:r>
            <m:rPr>
              <m:sty m:val="p"/>
            </m:rPr>
            <m:t>}</m:t>
          </m:r>
          <m:r>
            <m:t>  </m:t>
          </m:r>
          <m:d>
            <m:dPr>
              <m:begChr m:val="("/>
              <m:endChr m:val=")"/>
              <m:sepChr m:val=""/>
              <m:grow/>
            </m:dPr>
            <m:e>
              <m:r>
                <m:t>7</m:t>
              </m:r>
            </m:e>
          </m:d>
        </m:oMath>
      </m:oMathPara>
      <w:bookmarkEnd w:id="30"/>
    </w:p>
    <w:p>
      <w:pPr>
        <w:pStyle w:val="FirstParagraph"/>
      </w:pPr>
      <w:bookmarkStart w:id="31" w:name="eq-domains_gsd"/>
      <m:oMathPara>
        <m:oMathParaPr>
          <m:jc m:val="center"/>
        </m:oMathParaPr>
        <m:oMath>
          <m:sSub>
            <m:e>
              <m:r>
                <m:t>X</m:t>
              </m:r>
            </m:e>
            <m:sub>
              <m:r>
                <m:t>G</m:t>
              </m:r>
            </m:sub>
          </m:sSub>
          <m:r>
            <m:rPr>
              <m:sty m:val="p"/>
            </m:rPr>
            <m:t>⊂</m:t>
          </m:r>
          <m:sSup>
            <m:e>
              <m:r>
                <m:rPr>
                  <m:sty m:val="p"/>
                  <m:scr m:val="double-struck"/>
                </m:rPr>
                <m:t>R</m:t>
              </m:r>
            </m:e>
            <m:sup>
              <m:r>
                <m:t>n</m:t>
              </m:r>
              <m:r>
                <m:t>o</m:t>
              </m:r>
              <m:r>
                <m:t>n</m:t>
              </m:r>
              <m:r>
                <m:rPr>
                  <m:sty m:val="p"/>
                </m:rPr>
                <m:t>−</m:t>
              </m:r>
              <m:r>
                <m:t>n</m:t>
              </m:r>
              <m:r>
                <m:t>e</m:t>
              </m:r>
              <m:r>
                <m:t>g</m:t>
              </m:r>
            </m:sup>
          </m:sSup>
          <m:r>
            <m:rPr>
              <m:nor/>
              <m:sty m:val="p"/>
            </m:rPr>
            <m:t> ; </m:t>
          </m:r>
          <m:r>
            <m:t>V</m:t>
          </m:r>
          <m:r>
            <m:rPr>
              <m:sty m:val="p"/>
            </m:rPr>
            <m:t>⊂</m:t>
          </m:r>
          <m:sSup>
            <m:e>
              <m:r>
                <m:rPr>
                  <m:sty m:val="p"/>
                  <m:scr m:val="double-struck"/>
                </m:rPr>
                <m:t>R</m:t>
              </m:r>
            </m:e>
            <m:sup>
              <m:r>
                <m:t>n</m:t>
              </m:r>
              <m:r>
                <m:t>o</m:t>
              </m:r>
              <m:r>
                <m:t>n</m:t>
              </m:r>
              <m:r>
                <m:rPr>
                  <m:sty m:val="p"/>
                </m:rPr>
                <m:t>−</m:t>
              </m:r>
              <m:r>
                <m:t>n</m:t>
              </m:r>
              <m:r>
                <m:t>e</m:t>
              </m:r>
              <m:r>
                <m:t>g</m:t>
              </m:r>
            </m:sup>
          </m:sSup>
          <m:r>
            <m:t>  </m:t>
          </m:r>
          <m:d>
            <m:dPr>
              <m:begChr m:val="("/>
              <m:endChr m:val=")"/>
              <m:sepChr m:val=""/>
              <m:grow/>
            </m:dPr>
            <m:e>
              <m:r>
                <m:t>8</m:t>
              </m:r>
            </m:e>
          </m:d>
        </m:oMath>
      </m:oMathPara>
      <w:bookmarkEnd w:id="31"/>
    </w:p>
    <w:bookmarkEnd w:id="32"/>
    <w:bookmarkStart w:id="37" w:name="comparison-definition"/>
    <w:p>
      <w:pPr>
        <w:pStyle w:val="Heading3"/>
      </w:pPr>
      <w:r>
        <w:t xml:space="preserve">Comparison definition</w:t>
      </w:r>
    </w:p>
    <w:p>
      <w:pPr>
        <w:pStyle w:val="FirstParagraph"/>
      </w:pPr>
      <w:r>
        <w:t xml:space="preserve">The relationship between</w:t>
      </w:r>
      <w:r>
        <w:t xml:space="preserve"> </w:t>
      </w:r>
      <m:oMath>
        <m:r>
          <m:t>S</m:t>
        </m:r>
      </m:oMath>
      <w:r>
        <w:t xml:space="preserve"> </w:t>
      </w:r>
      <w:r>
        <w:t xml:space="preserve">and</w:t>
      </w:r>
      <w:r>
        <w:t xml:space="preserve"> </w:t>
      </w:r>
      <m:oMath>
        <m:r>
          <m:t>G</m:t>
        </m:r>
      </m:oMath>
      <w:r>
        <w:t xml:space="preserve"> </w:t>
      </w:r>
      <w:r>
        <w:t xml:space="preserve">cad be defined in terms of how</w:t>
      </w:r>
      <w:r>
        <w:t xml:space="preserve"> </w:t>
      </w:r>
      <m:oMath>
        <m:r>
          <m:t>G</m:t>
        </m:r>
      </m:oMath>
      <w:r>
        <w:t xml:space="preserve"> </w:t>
      </w:r>
      <w:r>
        <w:rPr>
          <w:i/>
          <w:iCs/>
        </w:rPr>
        <w:t xml:space="preserve">describes</w:t>
      </w:r>
      <w:r>
        <w:t xml:space="preserve"> </w:t>
      </w:r>
      <m:oMath>
        <m:r>
          <m:t>S</m:t>
        </m:r>
      </m:oMath>
      <w:r>
        <w:t xml:space="preserve">.</w:t>
      </w:r>
      <w:r>
        <w:t xml:space="preserve"> </w:t>
      </w:r>
      <w:r>
        <w:t xml:space="preserve">In the context of DEM modeling, this may seem backward because typically in DEM modeling, a target GSD is defined first and a sample generated to match it.</w:t>
      </w:r>
      <w:r>
        <w:t xml:space="preserve"> </w:t>
      </w:r>
      <w:r>
        <w:t xml:space="preserve">On the other hand, a discrete sample (either physical or numerical) exists on its own, whereas a GSD only has meaning when interpreted as a description of a sample.</w:t>
      </w:r>
      <w:r>
        <w:t xml:space="preserve"> </w:t>
      </w:r>
      <w:r>
        <w:t xml:space="preserve">Therefore the relationship between</w:t>
      </w:r>
      <w:r>
        <w:t xml:space="preserve"> </w:t>
      </w:r>
      <m:oMath>
        <m:r>
          <m:t>S</m:t>
        </m:r>
      </m:oMath>
      <w:r>
        <w:t xml:space="preserve"> </w:t>
      </w:r>
      <w:r>
        <w:t xml:space="preserve">and</w:t>
      </w:r>
      <w:r>
        <w:t xml:space="preserve"> </w:t>
      </w:r>
      <m:oMath>
        <m:r>
          <m:t>G</m:t>
        </m:r>
      </m:oMath>
      <w:r>
        <w:t xml:space="preserve"> </w:t>
      </w:r>
      <w:r>
        <w:t xml:space="preserve">will be defined in terms of</w:t>
      </w:r>
      <w:r>
        <w:t xml:space="preserve"> </w:t>
      </w:r>
      <m:oMath>
        <m:r>
          <m:t>G</m:t>
        </m:r>
      </m:oMath>
      <w:r>
        <w:t xml:space="preserve">’s description of</w:t>
      </w:r>
      <w:r>
        <w:t xml:space="preserve"> </w:t>
      </w:r>
      <m:oMath>
        <m:r>
          <m:t>S</m:t>
        </m:r>
      </m:oMath>
      <w:r>
        <w:t xml:space="preserve">.</w:t>
      </w:r>
      <w:r>
        <w:t xml:space="preserve"> </w:t>
      </w:r>
      <w:r>
        <w:t xml:space="preserve">In a later section, the topic of finding an instance of</w:t>
      </w:r>
      <w:r>
        <w:t xml:space="preserve"> </w:t>
      </w:r>
      <m:oMath>
        <m:r>
          <m:t>S</m:t>
        </m:r>
      </m:oMath>
      <w:r>
        <w:t xml:space="preserve"> </w:t>
      </w:r>
      <w:r>
        <w:t xml:space="preserve">that</w:t>
      </w:r>
      <w:r>
        <w:t xml:space="preserve"> </w:t>
      </w:r>
      <w:r>
        <w:rPr>
          <w:i/>
          <w:iCs/>
        </w:rPr>
        <w:t xml:space="preserve">matches</w:t>
      </w:r>
      <w:r>
        <w:t xml:space="preserve"> </w:t>
      </w:r>
      <w:r>
        <w:t xml:space="preserve">a target</w:t>
      </w:r>
      <w:r>
        <w:t xml:space="preserve"> </w:t>
      </w:r>
      <m:oMath>
        <m:r>
          <m:t>G</m:t>
        </m:r>
      </m:oMath>
      <w:r>
        <w:t xml:space="preserve"> </w:t>
      </w:r>
      <w:r>
        <w:t xml:space="preserve">will be addressed.</w:t>
      </w:r>
    </w:p>
    <w:p>
      <w:pPr>
        <w:pStyle w:val="BodyText"/>
      </w:pPr>
      <w:r>
        <w:t xml:space="preserve">The relationship between</w:t>
      </w:r>
      <w:r>
        <w:t xml:space="preserve"> </w:t>
      </w:r>
      <m:oMath>
        <m:r>
          <m:t>S</m:t>
        </m:r>
      </m:oMath>
      <w:r>
        <w:t xml:space="preserve"> </w:t>
      </w:r>
      <w:r>
        <w:t xml:space="preserve">and</w:t>
      </w:r>
      <w:r>
        <w:t xml:space="preserve"> </w:t>
      </w:r>
      <m:oMath>
        <m:r>
          <m:t>G</m:t>
        </m:r>
      </m:oMath>
      <w:r>
        <w:t xml:space="preserve"> </w:t>
      </w:r>
      <w:r>
        <w:t xml:space="preserve">is formalized in three conditions described as follows:</w:t>
      </w:r>
    </w:p>
    <w:p>
      <w:pPr>
        <w:pStyle w:val="BodyText"/>
      </w:pPr>
      <w:r>
        <w:rPr>
          <w:b/>
          <w:bCs/>
        </w:rPr>
        <w:t xml:space="preserve">Condition 1:</w:t>
      </w:r>
      <w:r>
        <w:t xml:space="preserve"> </w:t>
      </w:r>
      <m:oMath>
        <m:r>
          <m:t>G</m:t>
        </m:r>
      </m:oMath>
      <w:r>
        <w:t xml:space="preserve"> </w:t>
      </w:r>
      <w:r>
        <w:t xml:space="preserve">is complete if and only if the final entry in</w:t>
      </w:r>
      <w:r>
        <w:t xml:space="preserve"> </w:t>
      </w:r>
      <m:oMath>
        <m:sSub>
          <m:e>
            <m:r>
              <m:t>M</m:t>
            </m:r>
          </m:e>
          <m:sub>
            <m:r>
              <m:t>G</m:t>
            </m:r>
          </m:sub>
        </m:sSub>
      </m:oMath>
      <w:r>
        <w:t xml:space="preserve"> </w:t>
      </w:r>
      <w:r>
        <w:t xml:space="preserve">is zero:</w:t>
      </w:r>
    </w:p>
    <w:p>
      <w:pPr>
        <w:pStyle w:val="BodyText"/>
      </w:pPr>
      <w:bookmarkStart w:id="33" w:name="eq-gsd_complete"/>
      <m:oMathPara>
        <m:oMathParaPr>
          <m:jc m:val="center"/>
        </m:oMathParaPr>
        <m:oMath>
          <m:r>
            <m:t>G</m:t>
          </m:r>
          <m:r>
            <m:rPr>
              <m:nor/>
              <m:sty m:val="p"/>
            </m:rPr>
            <m:t> is complete </m:t>
          </m:r>
          <m:r>
            <m:rPr>
              <m:sty m:val="p"/>
            </m:rPr>
            <m:t>⇔</m:t>
          </m:r>
          <m:sSub>
            <m:e>
              <m:r>
                <m:t>m</m:t>
              </m:r>
            </m:e>
            <m:sub>
              <m:sSub>
                <m:e>
                  <m:r>
                    <m:t>n</m:t>
                  </m:r>
                </m:e>
                <m:sub>
                  <m:r>
                    <m:t>G</m:t>
                  </m:r>
                </m:sub>
              </m:sSub>
            </m:sub>
          </m:sSub>
          <m:r>
            <m:rPr>
              <m:sty m:val="p"/>
            </m:rPr>
            <m:t>=</m:t>
          </m:r>
          <m:r>
            <m:t>0</m:t>
          </m:r>
          <m:r>
            <m:t>  </m:t>
          </m:r>
          <m:d>
            <m:dPr>
              <m:begChr m:val="("/>
              <m:endChr m:val=")"/>
              <m:sepChr m:val=""/>
              <m:grow/>
            </m:dPr>
            <m:e>
              <m:r>
                <m:t>9</m:t>
              </m:r>
            </m:e>
          </m:d>
        </m:oMath>
      </m:oMathPara>
      <w:bookmarkEnd w:id="33"/>
    </w:p>
    <w:p>
      <w:pPr>
        <w:pStyle w:val="FirstParagraph"/>
      </w:pPr>
      <w:r>
        <w:t xml:space="preserve">This condition ensures that</w:t>
      </w:r>
      <w:r>
        <w:t xml:space="preserve"> </w:t>
      </w:r>
      <m:oMath>
        <m:sSub>
          <m:e>
            <m:r>
              <m:t>x</m:t>
            </m:r>
          </m:e>
          <m:sub>
            <m:r>
              <m:t>n</m:t>
            </m:r>
            <m:r>
              <m:t>G</m:t>
            </m:r>
          </m:sub>
        </m:sSub>
      </m:oMath>
      <w:r>
        <w:t xml:space="preserve"> </w:t>
      </w:r>
      <w:r>
        <w:t xml:space="preserve">provides an upper bound to the sizes described by</w:t>
      </w:r>
      <w:r>
        <w:t xml:space="preserve"> </w:t>
      </w:r>
      <m:oMath>
        <m:r>
          <m:t>G</m:t>
        </m:r>
      </m:oMath>
      <w:r>
        <w:t xml:space="preserve">.</w:t>
      </w:r>
      <w:r>
        <w:t xml:space="preserve"> </w:t>
      </w:r>
      <w:r>
        <w:t xml:space="preserve">This is analogous to the limitation of scope in ASTM D6913 to grain sizes passing a 75-mm sieve</w:t>
      </w:r>
      <w:r>
        <w:t xml:space="preserve"> </w:t>
      </w:r>
      <w:r>
        <w:t xml:space="preserve">(D18 Committee, n.d.)</w:t>
      </w:r>
      <w:r>
        <w:t xml:space="preserve">.</w:t>
      </w:r>
    </w:p>
    <w:p>
      <w:pPr>
        <w:pStyle w:val="BodyText"/>
      </w:pPr>
      <w:r>
        <w:rPr>
          <w:b/>
          <w:bCs/>
        </w:rPr>
        <w:t xml:space="preserve">Condition 2:</w:t>
      </w:r>
      <w:r>
        <w:t xml:space="preserve"> </w:t>
      </w:r>
      <m:oMath>
        <m:r>
          <m:t>G</m:t>
        </m:r>
      </m:oMath>
      <w:r>
        <w:t xml:space="preserve"> </w:t>
      </w:r>
      <w:r>
        <w:t xml:space="preserve">describes</w:t>
      </w:r>
      <w:r>
        <w:t xml:space="preserve"> </w:t>
      </w:r>
      <m:oMath>
        <m:r>
          <m:t>S</m:t>
        </m:r>
      </m:oMath>
      <w:r>
        <w:t xml:space="preserve"> </w:t>
      </w:r>
      <w:r>
        <w:t xml:space="preserve">(denoted</w:t>
      </w:r>
      <w:r>
        <w:t xml:space="preserve"> </w:t>
      </w:r>
      <m:oMath>
        <m:r>
          <m:t>G</m:t>
        </m:r>
        <m:r>
          <m:rPr>
            <m:sty m:val="p"/>
          </m:rPr>
          <m:t>→</m:t>
        </m:r>
        <m:r>
          <m:t>S</m:t>
        </m:r>
      </m:oMath>
      <w:r>
        <w:t xml:space="preserve">) if and only if</w:t>
      </w:r>
      <w:r>
        <w:t xml:space="preserve"> </w:t>
      </w:r>
      <m:oMath>
        <m:r>
          <m:rPr>
            <m:nor/>
            <m:sty m:val="p"/>
          </m:rPr>
          <m:t>Cond1</m:t>
        </m:r>
      </m:oMath>
      <w:r>
        <w:t xml:space="preserve"> </w:t>
      </w:r>
      <w:r>
        <w:t xml:space="preserve">is met and the its smallest size is smaller than any size in</w:t>
      </w:r>
      <w:r>
        <w:t xml:space="preserve"> </w:t>
      </w:r>
      <m:oMath>
        <m:r>
          <m:t>S</m:t>
        </m:r>
      </m:oMath>
      <w:r>
        <w:t xml:space="preserve"> </w:t>
      </w:r>
      <w:r>
        <w:t xml:space="preserve">and its largest size is larger than any size in</w:t>
      </w:r>
      <w:r>
        <w:t xml:space="preserve"> </w:t>
      </w:r>
      <m:oMath>
        <m:r>
          <m:t>S</m:t>
        </m:r>
      </m:oMath>
      <w:r>
        <w:t xml:space="preserve">:</w:t>
      </w:r>
    </w:p>
    <w:p>
      <w:pPr>
        <w:pStyle w:val="BodyText"/>
      </w:pPr>
      <w:bookmarkStart w:id="34" w:name="eq-gds_describes"/>
      <m:oMathPara>
        <m:oMathParaPr>
          <m:jc m:val="center"/>
        </m:oMathParaPr>
        <m:oMath>
          <m:r>
            <m:t>G</m:t>
          </m:r>
          <m:r>
            <m:rPr>
              <m:sty m:val="p"/>
            </m:rPr>
            <m:t>→</m:t>
          </m:r>
          <m:r>
            <m:t>S</m:t>
          </m:r>
          <m:r>
            <m:rPr>
              <m:sty m:val="p"/>
            </m:rPr>
            <m:t>⇔</m:t>
          </m:r>
          <m:r>
            <m:rPr>
              <m:nor/>
              <m:sty m:val="p"/>
            </m:rPr>
            <m:t> Cond1</m:t>
          </m:r>
          <m:r>
            <m:rPr>
              <m:sty m:val="p"/>
            </m:rPr>
            <m:t>∧</m:t>
          </m:r>
          <m:r>
            <m:rPr>
              <m:sty m:val="p"/>
            </m:rPr>
            <m:t>min</m:t>
          </m:r>
          <m:d>
            <m:dPr>
              <m:begChr m:val="("/>
              <m:endChr m:val=")"/>
              <m:sepChr m:val=""/>
              <m:grow/>
            </m:dPr>
            <m:e>
              <m:sSub>
                <m:e>
                  <m:r>
                    <m:t>X</m:t>
                  </m:r>
                </m:e>
                <m:sub>
                  <m:r>
                    <m:t>G</m:t>
                  </m:r>
                </m:sub>
              </m:sSub>
            </m:e>
          </m:d>
          <m:r>
            <m:rPr>
              <m:sty m:val="p"/>
            </m:rPr>
            <m:t>&lt;</m:t>
          </m:r>
          <m:r>
            <m:rPr>
              <m:sty m:val="p"/>
            </m:rPr>
            <m:t>min</m:t>
          </m:r>
          <m:d>
            <m:dPr>
              <m:begChr m:val="("/>
              <m:endChr m:val=")"/>
              <m:sepChr m:val=""/>
              <m:grow/>
            </m:dPr>
            <m:e>
              <m:sSub>
                <m:e>
                  <m:r>
                    <m:t>X</m:t>
                  </m:r>
                </m:e>
                <m:sub>
                  <m:r>
                    <m:t>S</m:t>
                  </m:r>
                </m:sub>
              </m:sSub>
            </m:e>
          </m:d>
          <m:r>
            <m:rPr>
              <m:sty m:val="p"/>
            </m:rPr>
            <m:t>∧</m:t>
          </m:r>
          <m:r>
            <m:rPr>
              <m:sty m:val="p"/>
            </m:rPr>
            <m:t>max</m:t>
          </m:r>
          <m:d>
            <m:dPr>
              <m:begChr m:val="("/>
              <m:endChr m:val=")"/>
              <m:sepChr m:val=""/>
              <m:grow/>
            </m:dPr>
            <m:e>
              <m:sSub>
                <m:e>
                  <m:r>
                    <m:t>X</m:t>
                  </m:r>
                </m:e>
                <m:sub>
                  <m:r>
                    <m:t>G</m:t>
                  </m:r>
                </m:sub>
              </m:sSub>
            </m:e>
          </m:d>
          <m:r>
            <m:rPr>
              <m:sty m:val="p"/>
            </m:rPr>
            <m:t>≥</m:t>
          </m:r>
          <m:r>
            <m:rPr>
              <m:sty m:val="p"/>
            </m:rPr>
            <m:t>max</m:t>
          </m:r>
          <m:d>
            <m:dPr>
              <m:begChr m:val="("/>
              <m:endChr m:val=")"/>
              <m:sepChr m:val=""/>
              <m:grow/>
            </m:dPr>
            <m:e>
              <m:sSub>
                <m:e>
                  <m:r>
                    <m:t>X</m:t>
                  </m:r>
                </m:e>
                <m:sub>
                  <m:r>
                    <m:t>S</m:t>
                  </m:r>
                </m:sub>
              </m:sSub>
            </m:e>
          </m:d>
          <m:r>
            <m:t>  </m:t>
          </m:r>
          <m:d>
            <m:dPr>
              <m:begChr m:val="("/>
              <m:endChr m:val=")"/>
              <m:sepChr m:val=""/>
              <m:grow/>
            </m:dPr>
            <m:e>
              <m:r>
                <m:t>10</m:t>
              </m:r>
            </m:e>
          </m:d>
        </m:oMath>
      </m:oMathPara>
      <w:bookmarkEnd w:id="34"/>
    </w:p>
    <w:p>
      <w:pPr>
        <w:pStyle w:val="FirstParagraph"/>
      </w:pPr>
      <w:r>
        <w:rPr>
          <w:b/>
          <w:bCs/>
        </w:rPr>
        <w:t xml:space="preserve">Condition 3:</w:t>
      </w:r>
      <w:r>
        <w:t xml:space="preserve"> </w:t>
      </w:r>
      <m:oMath>
        <m:r>
          <m:t>G</m:t>
        </m:r>
      </m:oMath>
      <w:r>
        <w:t xml:space="preserve"> </w:t>
      </w:r>
      <w:r>
        <w:t xml:space="preserve">describes</w:t>
      </w:r>
      <w:r>
        <w:t xml:space="preserve"> </w:t>
      </w:r>
      <m:oMath>
        <m:r>
          <m:t>S</m:t>
        </m:r>
      </m:oMath>
      <w:r>
        <w:t xml:space="preserve"> </w:t>
      </w:r>
      <w:r>
        <w:t xml:space="preserve">articulately if</w:t>
      </w:r>
      <w:r>
        <w:t xml:space="preserve"> </w:t>
      </w:r>
      <m:oMath>
        <m:r>
          <m:rPr>
            <m:nor/>
            <m:sty m:val="p"/>
          </m:rPr>
          <m:t>Cond2</m:t>
        </m:r>
      </m:oMath>
      <w:r>
        <w:t xml:space="preserve"> </w:t>
      </w:r>
      <w:r>
        <w:t xml:space="preserve">is met and for all consecutive pairs of sizes in</w:t>
      </w:r>
      <w:r>
        <w:t xml:space="preserve"> </w:t>
      </w:r>
      <m:oMath>
        <m:sSub>
          <m:e>
            <m:r>
              <m:t>X</m:t>
            </m:r>
          </m:e>
          <m:sub>
            <m:r>
              <m:t>S</m:t>
            </m:r>
          </m:sub>
        </m:sSub>
      </m:oMath>
      <w:r>
        <w:t xml:space="preserve"> </w:t>
      </w:r>
      <w:r>
        <w:t xml:space="preserve">there exists at least one size in</w:t>
      </w:r>
      <w:r>
        <w:t xml:space="preserve"> </w:t>
      </w:r>
      <m:oMath>
        <m:sSub>
          <m:e>
            <m:r>
              <m:t>X</m:t>
            </m:r>
          </m:e>
          <m:sub>
            <m:r>
              <m:t>G</m:t>
            </m:r>
          </m:sub>
        </m:sSub>
      </m:oMath>
      <w:r>
        <w:t xml:space="preserve"> </w:t>
      </w:r>
      <w:r>
        <w:t xml:space="preserve">between them.</w:t>
      </w:r>
    </w:p>
    <w:p>
      <w:pPr>
        <w:pStyle w:val="BodyText"/>
      </w:pPr>
      <w:bookmarkStart w:id="35" w:name="eq-gsd_articulate"/>
      <m:oMathPara>
        <m:oMathParaPr>
          <m:jc m:val="center"/>
        </m:oMathParaPr>
        <m:oMath>
          <m:r>
            <m:t>G</m:t>
          </m:r>
          <m:limUpp>
            <m:e>
              <m:r>
                <m:rPr>
                  <m:sty m:val="p"/>
                </m:rPr>
                <m:t>→</m:t>
              </m:r>
            </m:e>
            <m:lim>
              <m:r>
                <m:rPr>
                  <m:nor/>
                  <m:sty m:val="p"/>
                </m:rPr>
                <m:t>articulately</m:t>
              </m:r>
            </m:lim>
          </m:limUpp>
          <m:r>
            <m:t>S</m:t>
          </m:r>
          <m:r>
            <m:rPr>
              <m:sty m:val="p"/>
            </m:rPr>
            <m:t>⇔</m:t>
          </m:r>
          <m:r>
            <m:rPr>
              <m:nor/>
              <m:sty m:val="p"/>
            </m:rPr>
            <m:t>Cond2</m:t>
          </m:r>
          <m:r>
            <m:rPr>
              <m:sty m:val="p"/>
            </m:rPr>
            <m:t>∧</m:t>
          </m:r>
          <m:r>
            <m:rPr>
              <m:sty m:val="p"/>
            </m:rPr>
            <m:t>∀</m:t>
          </m:r>
          <m:d>
            <m:dPr>
              <m:begChr m:val="("/>
              <m:endChr m:val=")"/>
              <m:sepChr m:val=""/>
              <m:grow/>
            </m:dPr>
            <m:e>
              <m:sSub>
                <m:e>
                  <m:r>
                    <m:t>x</m:t>
                  </m:r>
                </m:e>
                <m:sub>
                  <m:r>
                    <m:t>i</m:t>
                  </m:r>
                </m:sub>
              </m:sSub>
              <m:r>
                <m:rPr>
                  <m:sty m:val="p"/>
                </m:rPr>
                <m:t>,</m:t>
              </m:r>
              <m:sSub>
                <m:e>
                  <m:r>
                    <m:t>x</m:t>
                  </m:r>
                </m:e>
                <m:sub>
                  <m:r>
                    <m:t>i</m:t>
                  </m:r>
                  <m:r>
                    <m:rPr>
                      <m:sty m:val="p"/>
                    </m:rPr>
                    <m:t>+</m:t>
                  </m:r>
                  <m:r>
                    <m:t>1</m:t>
                  </m:r>
                </m:sub>
              </m:sSub>
            </m:e>
          </m:d>
          <m:r>
            <m:rPr>
              <m:sty m:val="p"/>
            </m:rPr>
            <m:t>∈</m:t>
          </m:r>
          <m:sSub>
            <m:e>
              <m:r>
                <m:t>X</m:t>
              </m:r>
            </m:e>
            <m:sub>
              <m:r>
                <m:t>S</m:t>
              </m:r>
            </m:sub>
          </m:sSub>
          <m:r>
            <m:t> </m:t>
          </m:r>
          <m:r>
            <m:rPr>
              <m:sty m:val="p"/>
            </m:rPr>
            <m:t>∃</m:t>
          </m:r>
          <m:r>
            <m:t> </m:t>
          </m:r>
          <m:sSub>
            <m:e>
              <m:r>
                <m:t>x</m:t>
              </m:r>
            </m:e>
            <m:sub>
              <m:r>
                <m:t>j</m:t>
              </m:r>
            </m:sub>
          </m:sSub>
          <m:r>
            <m:rPr>
              <m:sty m:val="p"/>
            </m:rPr>
            <m:t>∈</m:t>
          </m:r>
          <m:sSub>
            <m:e>
              <m:r>
                <m:t>X</m:t>
              </m:r>
            </m:e>
            <m:sub>
              <m:r>
                <m:t>G</m:t>
              </m:r>
            </m:sub>
          </m:sSub>
          <m:r>
            <m:rPr>
              <m:nor/>
              <m:sty m:val="p"/>
            </m:rPr>
            <m:t> such that </m:t>
          </m:r>
          <m:sSub>
            <m:e>
              <m:r>
                <m:t>x</m:t>
              </m:r>
            </m:e>
            <m:sub>
              <m:r>
                <m:t>i</m:t>
              </m:r>
            </m:sub>
          </m:sSub>
          <m:r>
            <m:rPr>
              <m:sty m:val="p"/>
            </m:rPr>
            <m:t>&lt;</m:t>
          </m:r>
          <m:sSub>
            <m:e>
              <m:r>
                <m:t>x</m:t>
              </m:r>
            </m:e>
            <m:sub>
              <m:r>
                <m:t>j</m:t>
              </m:r>
            </m:sub>
          </m:sSub>
          <m:r>
            <m:rPr>
              <m:sty m:val="p"/>
            </m:rPr>
            <m:t>≤</m:t>
          </m:r>
          <m:sSub>
            <m:e>
              <m:r>
                <m:t>x</m:t>
              </m:r>
            </m:e>
            <m:sub>
              <m:r>
                <m:t>i</m:t>
              </m:r>
              <m:r>
                <m:rPr>
                  <m:sty m:val="p"/>
                </m:rPr>
                <m:t>+</m:t>
              </m:r>
              <m:r>
                <m:t>1</m:t>
              </m:r>
            </m:sub>
          </m:sSub>
          <m:r>
            <m:t>  </m:t>
          </m:r>
          <m:d>
            <m:dPr>
              <m:begChr m:val="("/>
              <m:endChr m:val=")"/>
              <m:sepChr m:val=""/>
              <m:grow/>
            </m:dPr>
            <m:e>
              <m:r>
                <m:t>11</m:t>
              </m:r>
            </m:e>
          </m:d>
          <m:r>
            <m:t>  </m:t>
          </m:r>
          <m:d>
            <m:dPr>
              <m:begChr m:val="("/>
              <m:endChr m:val=")"/>
              <m:sepChr m:val=""/>
              <m:grow/>
            </m:dPr>
            <m:e>
              <m:r>
                <m:t>11</m:t>
              </m:r>
            </m:e>
          </m:d>
        </m:oMath>
      </m:oMathPara>
      <w:bookmarkEnd w:id="35"/>
    </w:p>
    <w:p>
      <w:pPr>
        <w:pStyle w:val="FirstParagraph"/>
      </w:pPr>
      <w:r>
        <w:rPr>
          <w:b/>
          <w:bCs/>
        </w:rPr>
        <w:t xml:space="preserve">Condition 4:</w:t>
      </w:r>
      <w:r>
        <w:t xml:space="preserve"> </w:t>
      </w:r>
      <m:oMath>
        <m:r>
          <m:t>G</m:t>
        </m:r>
      </m:oMath>
      <w:r>
        <w:t xml:space="preserve"> </w:t>
      </w:r>
      <w:r>
        <w:t xml:space="preserve">describes</w:t>
      </w:r>
      <w:r>
        <w:t xml:space="preserve"> </w:t>
      </w:r>
      <m:oMath>
        <m:r>
          <m:t>S</m:t>
        </m:r>
      </m:oMath>
      <w:r>
        <w:t xml:space="preserve"> </w:t>
      </w:r>
      <w:r>
        <w:t xml:space="preserve">accurately if</w:t>
      </w:r>
      <w:r>
        <w:t xml:space="preserve"> </w:t>
      </w:r>
      <m:oMath>
        <m:r>
          <m:rPr>
            <m:nor/>
            <m:sty m:val="p"/>
          </m:rPr>
          <m:t>Cond2</m:t>
        </m:r>
      </m:oMath>
      <w:r>
        <w:t xml:space="preserve"> </w:t>
      </w:r>
      <w:r>
        <w:t xml:space="preserve">is met and the combined masses of all the particles with sizes between every pair of sizes in</w:t>
      </w:r>
      <w:r>
        <w:t xml:space="preserve"> </w:t>
      </w:r>
      <m:oMath>
        <m:sSub>
          <m:e>
            <m:r>
              <m:t>X</m:t>
            </m:r>
          </m:e>
          <m:sub>
            <m:r>
              <m:t>G</m:t>
            </m:r>
          </m:sub>
        </m:sSub>
      </m:oMath>
      <w:r>
        <w:t xml:space="preserve"> </w:t>
      </w:r>
      <w:r>
        <w:t xml:space="preserve">is equal to the retained mass on the lower of the size pairs in</w:t>
      </w:r>
      <w:r>
        <w:t xml:space="preserve"> </w:t>
      </w:r>
      <m:oMath>
        <m:r>
          <m:t>G</m:t>
        </m:r>
      </m:oMath>
      <w:r>
        <w:t xml:space="preserve">:</w:t>
      </w:r>
    </w:p>
    <w:p>
      <w:pPr>
        <w:pStyle w:val="BodyText"/>
      </w:pPr>
      <w:bookmarkStart w:id="36" w:name="eq-gsd_accurate"/>
      <m:oMathPara>
        <m:oMathParaPr>
          <m:jc m:val="center"/>
        </m:oMathParaPr>
        <m:oMath>
          <m:r>
            <m:t>G</m:t>
          </m:r>
          <m:limUpp>
            <m:e>
              <m:r>
                <m:rPr>
                  <m:sty m:val="p"/>
                </m:rPr>
                <m:t>→</m:t>
              </m:r>
            </m:e>
            <m:lim>
              <m:r>
                <m:rPr>
                  <m:nor/>
                  <m:sty m:val="p"/>
                </m:rPr>
                <m:t>accurately</m:t>
              </m:r>
            </m:lim>
          </m:limUpp>
          <m:r>
            <m:t>S</m:t>
          </m:r>
          <m:r>
            <m:rPr>
              <m:sty m:val="p"/>
            </m:rPr>
            <m:t>⇔</m:t>
          </m:r>
          <m:r>
            <m:rPr>
              <m:nor/>
              <m:sty m:val="p"/>
            </m:rPr>
            <m:t> Cond2</m:t>
          </m:r>
          <m:r>
            <m:rPr>
              <m:sty m:val="p"/>
            </m:rPr>
            <m:t>∧</m:t>
          </m:r>
          <m:nary>
            <m:naryPr>
              <m:chr m:val="∑"/>
              <m:limLoc m:val="undOvr"/>
              <m:subHide m:val="off"/>
              <m:supHide m:val="on"/>
            </m:naryPr>
            <m:sub>
              <m:m>
                <m:mPr>
                  <m:baseJc m:val="center"/>
                  <m:plcHide m:val="on"/>
                  <m:mcs>
                    <m:mc>
                      <m:mcPr>
                        <m:mcJc m:val="center"/>
                        <m:count m:val="1"/>
                      </m:mcPr>
                    </m:mc>
                  </m:mcs>
                </m:mPr>
                <m:mr>
                  <m:e>
                    <m:r>
                      <m:t>i</m:t>
                    </m:r>
                    <m:r>
                      <m:rPr>
                        <m:sty m:val="p"/>
                      </m:rPr>
                      <m:t>∈</m:t>
                    </m:r>
                    <m:sSub>
                      <m:e>
                        <m:r>
                          <m:t>I</m:t>
                        </m:r>
                      </m:e>
                      <m:sub>
                        <m:r>
                          <m:t>S</m:t>
                        </m:r>
                      </m:sub>
                    </m:sSub>
                  </m:e>
                </m:mr>
                <m:mr>
                  <m:e>
                    <m:sSub>
                      <m:e>
                        <m:r>
                          <m:t>x</m:t>
                        </m:r>
                      </m:e>
                      <m:sub>
                        <m:r>
                          <m:t>j</m:t>
                        </m:r>
                      </m:sub>
                    </m:sSub>
                    <m:r>
                      <m:rPr>
                        <m:sty m:val="p"/>
                      </m:rPr>
                      <m:t>&lt;</m:t>
                    </m:r>
                    <m:sSub>
                      <m:e>
                        <m:r>
                          <m:t>x</m:t>
                        </m:r>
                      </m:e>
                      <m:sub>
                        <m:r>
                          <m:t>i</m:t>
                        </m:r>
                      </m:sub>
                    </m:sSub>
                    <m:r>
                      <m:rPr>
                        <m:sty m:val="p"/>
                      </m:rPr>
                      <m:t>≤</m:t>
                    </m:r>
                    <m:sSub>
                      <m:e>
                        <m:r>
                          <m:t>x</m:t>
                        </m:r>
                      </m:e>
                      <m:sub>
                        <m:r>
                          <m:t>j</m:t>
                        </m:r>
                        <m:r>
                          <m:rPr>
                            <m:sty m:val="p"/>
                          </m:rPr>
                          <m:t>+</m:t>
                        </m:r>
                        <m:r>
                          <m:t>1</m:t>
                        </m:r>
                      </m:sub>
                    </m:sSub>
                  </m:e>
                </m:mr>
              </m:m>
            </m:sub>
            <m:sup>
              <m:r>
                <m:t>​</m:t>
              </m:r>
            </m:sup>
            <m:e>
              <m:sSub>
                <m:e>
                  <m:r>
                    <m:t>q</m:t>
                  </m:r>
                </m:e>
                <m:sub>
                  <m:r>
                    <m:t>i</m:t>
                  </m:r>
                </m:sub>
              </m:sSub>
            </m:e>
          </m:nary>
          <m:r>
            <m:rPr>
              <m:sty m:val="p"/>
            </m:rPr>
            <m:t>⋅</m:t>
          </m:r>
          <m:r>
            <m:t>f</m:t>
          </m:r>
          <m:d>
            <m:dPr>
              <m:begChr m:val="("/>
              <m:endChr m:val=")"/>
              <m:sepChr m:val=""/>
              <m:grow/>
            </m:dPr>
            <m:e>
              <m:sSub>
                <m:e>
                  <m:r>
                    <m:t>x</m:t>
                  </m:r>
                </m:e>
                <m:sub>
                  <m:r>
                    <m:t>i</m:t>
                  </m:r>
                </m:sub>
              </m:sSub>
            </m:e>
          </m:d>
          <m:r>
            <m:rPr>
              <m:sty m:val="p"/>
            </m:rPr>
            <m:t>=</m:t>
          </m:r>
          <m:sSub>
            <m:e>
              <m:r>
                <m:t>m</m:t>
              </m:r>
            </m:e>
            <m:sub>
              <m:r>
                <m:t>j</m:t>
              </m:r>
            </m:sub>
          </m:sSub>
          <m:r>
            <m:t>  </m:t>
          </m:r>
          <m:d>
            <m:dPr>
              <m:begChr m:val="("/>
              <m:endChr m:val=")"/>
              <m:sepChr m:val=""/>
              <m:grow/>
            </m:dPr>
            <m:e>
              <m:r>
                <m:t>12</m:t>
              </m:r>
            </m:e>
          </m:d>
        </m:oMath>
      </m:oMathPara>
      <w:bookmarkEnd w:id="36"/>
    </w:p>
    <w:p>
      <w:pPr>
        <w:pStyle w:val="FirstParagraph"/>
      </w:pPr>
      <w:r>
        <w:t xml:space="preserve">where</w:t>
      </w:r>
      <w:r>
        <w:t xml:space="preserve"> </w:t>
      </w:r>
      <m:oMath>
        <m:r>
          <m:t>f</m:t>
        </m:r>
        <m:d>
          <m:dPr>
            <m:begChr m:val="("/>
            <m:endChr m:val=")"/>
            <m:sepChr m:val=""/>
            <m:grow/>
          </m:dPr>
          <m:e>
            <m:r>
              <m:t>x</m:t>
            </m:r>
          </m:e>
        </m:d>
      </m:oMath>
      <w:r>
        <w:t xml:space="preserve"> </w:t>
      </w:r>
      <w:r>
        <w:t xml:space="preserve">is a scaling function that converts size to mass.</w:t>
      </w:r>
      <w:r>
        <w:t xml:space="preserve"> </w:t>
      </w:r>
      <w:r>
        <w:t xml:space="preserve">As indicated in</w:t>
      </w:r>
      <w:r>
        <w:t xml:space="preserve"> </w:t>
      </w:r>
      <w:hyperlink w:anchor="eq-gsd_accurate">
        <w:r>
          <w:rPr>
            <w:rStyle w:val="Hyperlink"/>
          </w:rPr>
          <w:t xml:space="preserve">Equation 12</w:t>
        </w:r>
      </w:hyperlink>
      <w:r>
        <w:t xml:space="preserve">, a size in</w:t>
      </w:r>
      <w:r>
        <w:t xml:space="preserve"> </w:t>
      </w:r>
      <m:oMath>
        <m:sSub>
          <m:e>
            <m:r>
              <m:t>X</m:t>
            </m:r>
          </m:e>
          <m:sub>
            <m:r>
              <m:t>S</m:t>
            </m:r>
          </m:sub>
        </m:sSub>
      </m:oMath>
      <w:r>
        <w:t xml:space="preserve"> </w:t>
      </w:r>
      <w:r>
        <w:t xml:space="preserve">is considered between two sizes in</w:t>
      </w:r>
      <w:r>
        <w:t xml:space="preserve"> </w:t>
      </w:r>
      <m:oMath>
        <m:sSub>
          <m:e>
            <m:r>
              <m:t>X</m:t>
            </m:r>
          </m:e>
          <m:sub>
            <m:r>
              <m:t>G</m:t>
            </m:r>
          </m:sub>
        </m:sSub>
      </m:oMath>
      <w:r>
        <w:t xml:space="preserve"> </w:t>
      </w:r>
      <w:r>
        <w:t xml:space="preserve">if it is larger than the</w:t>
      </w:r>
      <w:r>
        <w:t xml:space="preserve"> </w:t>
      </w:r>
      <m:oMath>
        <m:sSub>
          <m:e>
            <m:r>
              <m:t>x</m:t>
            </m:r>
          </m:e>
          <m:sub>
            <m:r>
              <m:t>j</m:t>
            </m:r>
          </m:sub>
        </m:sSub>
      </m:oMath>
      <w:r>
        <w:t xml:space="preserve"> </w:t>
      </w:r>
      <w:r>
        <w:t xml:space="preserve">and smaller than or equal to</w:t>
      </w:r>
      <w:r>
        <w:t xml:space="preserve"> </w:t>
      </w:r>
      <m:oMath>
        <m:sSub>
          <m:e>
            <m:r>
              <m:t>x</m:t>
            </m:r>
          </m:e>
          <m:sub>
            <m:r>
              <m:t>j</m:t>
            </m:r>
            <m:r>
              <m:rPr>
                <m:sty m:val="p"/>
              </m:rPr>
              <m:t>+</m:t>
            </m:r>
            <m:r>
              <m:t>1</m:t>
            </m:r>
          </m:sub>
        </m:sSub>
      </m:oMath>
      <w:r>
        <w:t xml:space="preserve">.</w:t>
      </w:r>
      <w:r>
        <w:t xml:space="preserve"> </w:t>
      </w:r>
      <w:r>
        <w:t xml:space="preserve">This is physically analogous to assuming a particle will pass through an opening equal to its own size.</w:t>
      </w:r>
    </w:p>
    <w:p>
      <w:pPr>
        <w:pStyle w:val="BodyText"/>
      </w:pPr>
      <w:r>
        <w:t xml:space="preserve">Note that</w:t>
      </w:r>
      <w:r>
        <w:t xml:space="preserve"> </w:t>
      </w:r>
      <m:oMath>
        <m:r>
          <m:rPr>
            <m:nor/>
            <m:sty m:val="p"/>
          </m:rPr>
          <m:t>Cond3</m:t>
        </m:r>
      </m:oMath>
      <w:r>
        <w:t xml:space="preserve"> </w:t>
      </w:r>
      <w:r>
        <w:t xml:space="preserve">is not required for</w:t>
      </w:r>
      <w:r>
        <w:t xml:space="preserve"> </w:t>
      </w:r>
      <m:oMath>
        <m:r>
          <m:rPr>
            <m:nor/>
            <m:sty m:val="p"/>
          </m:rPr>
          <m:t>Cond4</m:t>
        </m:r>
      </m:oMath>
      <w:r>
        <w:t xml:space="preserve"> </w:t>
      </w:r>
      <w:r>
        <w:t xml:space="preserve">to be satisfied.</w:t>
      </w:r>
      <w:r>
        <w:t xml:space="preserve"> </w:t>
      </w:r>
      <w:hyperlink w:anchor="eq-domains_gsd">
        <w:r>
          <w:rPr>
            <w:rStyle w:val="Hyperlink"/>
          </w:rPr>
          <w:t xml:space="preserve">Equation 8</w:t>
        </w:r>
      </w:hyperlink>
    </w:p>
    <w:bookmarkEnd w:id="37"/>
    <w:bookmarkStart w:id="38" w:name="physical-interpretation"/>
    <w:p>
      <w:pPr>
        <w:pStyle w:val="Heading3"/>
      </w:pPr>
      <w:r>
        <w:t xml:space="preserve">Physical interpretation</w:t>
      </w:r>
    </w:p>
    <w:p>
      <w:pPr>
        <w:pStyle w:val="FirstParagraph"/>
      </w:pPr>
      <w:r>
        <w:t xml:space="preserve">In physical terms, some assumptions are required in order for</w:t>
      </w:r>
      <w:r>
        <w:t xml:space="preserve"> </w:t>
      </w:r>
      <m:oMath>
        <m:r>
          <m:t>S</m:t>
        </m:r>
      </m:oMath>
      <w:r>
        <w:t xml:space="preserve"> </w:t>
      </w:r>
      <w:r>
        <w:t xml:space="preserve">and</w:t>
      </w:r>
      <w:r>
        <w:t xml:space="preserve"> </w:t>
      </w:r>
      <m:oMath>
        <m:r>
          <m:t>G</m:t>
        </m:r>
      </m:oMath>
      <w:r>
        <w:t xml:space="preserve"> </w:t>
      </w:r>
      <w:r>
        <w:t xml:space="preserve">to be interpreted as a physical sample and sieve analysis (or a numerical version of the same).</w:t>
      </w:r>
      <w:r>
        <w:t xml:space="preserve"> </w:t>
      </w:r>
      <w:r>
        <w:t xml:space="preserve">First, the sizes in</w:t>
      </w:r>
      <w:r>
        <w:t xml:space="preserve"> </w:t>
      </w:r>
      <m:oMath>
        <m:sSub>
          <m:e>
            <m:r>
              <m:t>X</m:t>
            </m:r>
          </m:e>
          <m:sub>
            <m:r>
              <m:t>G</m:t>
            </m:r>
          </m:sub>
        </m:sSub>
      </m:oMath>
      <w:r>
        <w:t xml:space="preserve"> </w:t>
      </w:r>
      <w:r>
        <w:t xml:space="preserve">are assumed to represent smallest enclosing diameter of whatever shapes the particles in</w:t>
      </w:r>
      <w:r>
        <w:t xml:space="preserve"> </w:t>
      </w:r>
      <m:oMath>
        <m:r>
          <m:t>S</m:t>
        </m:r>
      </m:oMath>
      <w:r>
        <w:t xml:space="preserve"> </w:t>
      </w:r>
      <w:r>
        <w:t xml:space="preserve">are.</w:t>
      </w:r>
      <w:r>
        <w:t xml:space="preserve"> </w:t>
      </w:r>
      <w:r>
        <w:t xml:space="preserve">Second, the particles in</w:t>
      </w:r>
      <w:r>
        <w:t xml:space="preserve"> </w:t>
      </w:r>
      <m:oMath>
        <m:r>
          <m:t>S</m:t>
        </m:r>
      </m:oMath>
      <w:r>
        <w:t xml:space="preserve"> </w:t>
      </w:r>
      <w:r>
        <w:t xml:space="preserve">are assumed to be of the same shape such that a single scaling function,</w:t>
      </w:r>
      <w:r>
        <w:t xml:space="preserve"> </w:t>
      </w:r>
      <m:oMath>
        <m:r>
          <m:t>f</m:t>
        </m:r>
        <m:d>
          <m:dPr>
            <m:begChr m:val="("/>
            <m:endChr m:val=")"/>
            <m:sepChr m:val=""/>
            <m:grow/>
          </m:dPr>
          <m:e>
            <m:r>
              <m:t>x</m:t>
            </m:r>
          </m:e>
        </m:d>
      </m:oMath>
      <w:r>
        <w:t xml:space="preserve">, can represent the size-mass relationship for all of</w:t>
      </w:r>
      <w:r>
        <w:t xml:space="preserve"> </w:t>
      </w:r>
      <m:oMath>
        <m:r>
          <m:t>S</m:t>
        </m:r>
      </m:oMath>
      <w:r>
        <w:t xml:space="preserve">.</w:t>
      </w:r>
      <w:r>
        <w:t xml:space="preserve"> </w:t>
      </w:r>
      <w:r>
        <w:t xml:space="preserve">For spherical particles with of constant density (</w:t>
      </w:r>
      <m:oMath>
        <m:r>
          <m:t>ρ</m:t>
        </m:r>
      </m:oMath>
      <w:r>
        <w:t xml:space="preserve">), this is a straightforward definition:</w:t>
      </w:r>
    </w:p>
    <w:p>
      <w:pPr>
        <w:pStyle w:val="BodyText"/>
      </w:pPr>
      <m:oMathPara>
        <m:oMathParaPr>
          <m:jc m:val="center"/>
        </m:oMathParaPr>
        <m:oMath>
          <m:r>
            <m:t>f</m:t>
          </m:r>
          <m:d>
            <m:dPr>
              <m:begChr m:val="("/>
              <m:endChr m:val=")"/>
              <m:sepChr m:val=""/>
              <m:grow/>
            </m:dPr>
            <m:e>
              <m:r>
                <m:t>x</m:t>
              </m:r>
            </m:e>
          </m:d>
          <m:r>
            <m:rPr>
              <m:sty m:val="p"/>
            </m:rPr>
            <m:t>=</m:t>
          </m:r>
          <m:f>
            <m:fPr>
              <m:type m:val="bar"/>
            </m:fPr>
            <m:num>
              <m:r>
                <m:t>ρ</m:t>
              </m:r>
              <m:r>
                <m:t>π</m:t>
              </m:r>
            </m:num>
            <m:den>
              <m:r>
                <m:t>6</m:t>
              </m:r>
            </m:den>
          </m:f>
          <m:sSup>
            <m:e>
              <m:r>
                <m:t>x</m:t>
              </m:r>
            </m:e>
            <m:sup>
              <m:r>
                <m:t>3</m:t>
              </m:r>
            </m:sup>
          </m:sSup>
        </m:oMath>
      </m:oMathPara>
    </w:p>
    <w:p>
      <w:pPr>
        <w:pStyle w:val="FirstParagraph"/>
      </w:pPr>
      <w:r>
        <w:t xml:space="preserve">Note, however, that the use of this particular scaling function is not required in general.</w:t>
      </w:r>
      <w:r>
        <w:t xml:space="preserve"> </w:t>
      </w:r>
      <w:r>
        <w:t xml:space="preserve">It is only necessary that</w:t>
      </w:r>
      <w:r>
        <w:t xml:space="preserve"> </w:t>
      </w:r>
      <m:oMath>
        <m:r>
          <m:t>f</m:t>
        </m:r>
        <m:d>
          <m:dPr>
            <m:begChr m:val="("/>
            <m:endChr m:val=")"/>
            <m:sepChr m:val=""/>
            <m:grow/>
          </m:dPr>
          <m:e>
            <m:r>
              <m:t>x</m:t>
            </m:r>
          </m:e>
        </m:d>
      </m:oMath>
      <w:r>
        <w:t xml:space="preserve"> </w:t>
      </w:r>
      <w:r>
        <w:t xml:space="preserve">be some mapping of</w:t>
      </w:r>
      <w:r>
        <w:t xml:space="preserve"> </w:t>
      </w:r>
      <m:oMath>
        <m:r>
          <m:t>x</m:t>
        </m:r>
        <m:r>
          <m:rPr>
            <m:sty m:val="p"/>
          </m:rPr>
          <m:t>↦</m:t>
        </m:r>
        <m:r>
          <m:t>m</m:t>
        </m:r>
      </m:oMath>
      <w:r>
        <w:t xml:space="preserve">.</w:t>
      </w:r>
      <w:r>
        <w:t xml:space="preserve"> </w:t>
      </w:r>
      <w:r>
        <w:t xml:space="preserve">It would be possible to combine sets of differently shaped particles with respective mapping functions, but this paper will limit itself to assuming uniform, spherical particles.</w:t>
      </w:r>
    </w:p>
    <w:bookmarkEnd w:id="38"/>
    <w:bookmarkEnd w:id="39"/>
    <w:bookmarkStart w:id="45" w:name="grain-sizes-evaluated"/>
    <w:p>
      <w:pPr>
        <w:pStyle w:val="Heading2"/>
      </w:pPr>
      <w:r>
        <w:t xml:space="preserve">Grain sizes evaluated</w:t>
      </w:r>
    </w:p>
    <w:p>
      <w:pPr>
        <w:pStyle w:val="FirstParagraph"/>
      </w:pPr>
      <w:r>
        <w:t xml:space="preserve">This paper will analyze several grain size distributions in the range of interest in geotechnical engineering (although the methods are applicable over a wider range).</w:t>
      </w:r>
      <w:r>
        <w:t xml:space="preserve"> </w:t>
      </w:r>
      <w:r>
        <w:t xml:space="preserve">Specifically, randomized GSDs based on normal distributions across the sieve set specified in ASTM D6913 (14 opening sizes from 0.075-mm to 75-mm).</w:t>
      </w:r>
      <w:r>
        <w:t xml:space="preserve"> </w:t>
      </w:r>
      <w:r>
        <w:t xml:space="preserve">For classification purposes, articles smaller than 0.075 are assumed to be silt, regardless of their size.</w:t>
      </w:r>
      <w:r>
        <w:t xml:space="preserve"> </w:t>
      </w:r>
      <w:hyperlink w:anchor="tbl-gsd_params">
        <w:r>
          <w:rPr>
            <w:rStyle w:val="Hyperlink"/>
          </w:rPr>
          <w:t xml:space="preserve">Table 1</w:t>
        </w:r>
      </w:hyperlink>
      <w:r>
        <w:t xml:space="preserve"> </w:t>
      </w:r>
      <w:r>
        <w:t xml:space="preserve">summarizes the GSDs used in this study using several traditional characteristics including coefficient of curvature,</w:t>
      </w:r>
      <w:r>
        <w:t xml:space="preserve"> </w:t>
      </w:r>
      <m:oMath>
        <m:sSub>
          <m:e>
            <m:r>
              <m:t>C</m:t>
            </m:r>
          </m:e>
          <m:sub>
            <m:r>
              <m:t>c</m:t>
            </m:r>
          </m:sub>
        </m:sSub>
      </m:oMath>
      <w:r>
        <w:t xml:space="preserve">, and coefficient of uniformity,</w:t>
      </w:r>
      <w:r>
        <w:t xml:space="preserve"> </w:t>
      </w:r>
      <m:oMath>
        <m:sSub>
          <m:e>
            <m:r>
              <m:t>C</m:t>
            </m:r>
          </m:e>
          <m:sub>
            <m:r>
              <m:t>u</m:t>
            </m:r>
          </m:sub>
        </m:sSub>
      </m:oMath>
      <w:r>
        <w:t xml:space="preserve">.</w:t>
      </w:r>
      <w:r>
        <w:t xml:space="preserve"> </w:t>
      </w:r>
      <w:r>
        <w:t xml:space="preserve">The grain size index,</w:t>
      </w:r>
      <w:r>
        <w:t xml:space="preserve"> </w:t>
      </w:r>
      <m:oMath>
        <m:sSub>
          <m:e>
            <m:r>
              <m:t>I</m:t>
            </m:r>
          </m:e>
          <m:sub>
            <m:r>
              <m:t>G</m:t>
            </m:r>
            <m:r>
              <m:t>S</m:t>
            </m:r>
          </m:sub>
        </m:sSub>
      </m:oMath>
      <w:r>
        <w:t xml:space="preserve">, as defined by</w:t>
      </w:r>
      <w:r>
        <w:t xml:space="preserve"> </w:t>
      </w:r>
      <w:r>
        <w:t xml:space="preserve">Erguler (2016)</w:t>
      </w:r>
      <w:r>
        <w:t xml:space="preserve"> </w:t>
      </w:r>
      <w:r>
        <w:t xml:space="preserve">and a new parameter, the curvature index,</w:t>
      </w:r>
      <w:r>
        <w:t xml:space="preserve"> </w:t>
      </w:r>
      <m:oMath>
        <m:sSub>
          <m:e>
            <m:r>
              <m:t>I</m:t>
            </m:r>
          </m:e>
          <m:sub>
            <m:r>
              <m:t>C</m:t>
            </m:r>
          </m:sub>
        </m:sSub>
      </m:oMath>
      <w:r>
        <w:t xml:space="preserve">, are also presented.</w:t>
      </w:r>
      <w:r>
        <w:t xml:space="preserve"> </w:t>
      </w:r>
      <w:r>
        <w:t xml:space="preserve">The curvature index is conceptually similar to the grain size index in that it is a ratio of areas related to the cumulative distribution function (in percent passing, log size space) of the GSD.</w:t>
      </w:r>
      <w:r>
        <w:t xml:space="preserve"> </w:t>
      </w:r>
      <m:oMath>
        <m:sSub>
          <m:e>
            <m:r>
              <m:t>I</m:t>
            </m:r>
          </m:e>
          <m:sub>
            <m:r>
              <m:t>C</m:t>
            </m:r>
          </m:sub>
        </m:sSub>
      </m:oMath>
      <w:r>
        <w:t xml:space="preserve"> </w:t>
      </w:r>
      <w:r>
        <w:t xml:space="preserve">normalizes the area under the GSD curve to the trapezoidal area bounded by the percent passing the smallest size above the pan (</w:t>
      </w:r>
      <m:oMath>
        <m:sSub>
          <m:e>
            <m:r>
              <m:t>x</m:t>
            </m:r>
          </m:e>
          <m:sub>
            <m:r>
              <m:t>m</m:t>
            </m:r>
            <m:r>
              <m:t>i</m:t>
            </m:r>
            <m:r>
              <m:t>n</m:t>
            </m:r>
            <m:r>
              <m:rPr>
                <m:sty m:val="p"/>
              </m:rPr>
              <m:t>+</m:t>
            </m:r>
            <m:r>
              <m:t>1</m:t>
            </m:r>
          </m:sub>
        </m:sSub>
      </m:oMath>
      <w:r>
        <w:t xml:space="preserve">) and the largest size (</w:t>
      </w:r>
      <m:oMath>
        <m:sSub>
          <m:e>
            <m:r>
              <m:t>x</m:t>
            </m:r>
          </m:e>
          <m:sub>
            <m:r>
              <m:t>m</m:t>
            </m:r>
            <m:r>
              <m:t>a</m:t>
            </m:r>
            <m:r>
              <m:t>x</m:t>
            </m:r>
          </m:sub>
        </m:sSub>
      </m:oMath>
      <w:r>
        <w:t xml:space="preserve">).</w:t>
      </w:r>
      <w:r>
        <w:t xml:space="preserve"> </w:t>
      </w:r>
      <w:hyperlink w:anchor="fig-gsd_curvature_index">
        <w:r>
          <w:rPr>
            <w:rStyle w:val="Hyperlink"/>
          </w:rPr>
          <w:t xml:space="preserve">Figure 1</w:t>
        </w:r>
      </w:hyperlink>
      <w:r>
        <w:t xml:space="preserve"> </w:t>
      </w:r>
      <w:r>
        <w:t xml:space="preserve">shows a small subset of the GSDs considered and illustrates the definition of</w:t>
      </w:r>
      <w:r>
        <w:t xml:space="preserve"> </w:t>
      </w:r>
      <m:oMath>
        <m:sSub>
          <m:e>
            <m:r>
              <m:t>I</m:t>
            </m:r>
          </m:e>
          <m:sub>
            <m:r>
              <m:t>C</m:t>
            </m:r>
          </m:sub>
        </m:sSub>
      </m:oMath>
      <w:r>
        <w:t xml:space="preserve"> </w:t>
      </w:r>
      <w:r>
        <w:t xml:space="preserve">on an example GSD.</w:t>
      </w:r>
    </w:p>
    <w:p>
      <w:pPr>
        <w:pStyle w:val="BodyText"/>
      </w:pPr>
      <w:r>
        <w:t xml:space="preserve">Some traditional grain size distribution characteristics</w:t>
      </w:r>
    </w:p>
    <w:tbl>
      <w:tblPr>
        <w:tblStyle w:val="Table"/>
        <w:tblW w:type="pct" w:w="5000"/>
        <w:tblLayout w:type="fixed"/>
        <w:tblLook w:firstRow="0" w:lastRow="0" w:firstColumn="0" w:lastColumn="0" w:noHBand="0" w:noVBand="0" w:val="0000"/>
      </w:tblPr>
      <w:tblGrid>
        <w:gridCol w:w="7920"/>
      </w:tblGrid>
      <w:tr>
        <w:tc>
          <w:tcPr/>
          <w:bookmarkStart w:id="40" w:name="tbl-gsd_params"/>
          <w:p>
            <w:pPr>
              <w:jc w:val="center"/>
            </w:pPr>
            <w:pPr>
              <w:jc w:val="start"/>
              <w:spacing w:before="200"/>
              <w:pStyle w:val="ImageCaption"/>
            </w:pPr>
            <w:r>
              <w:t xml:space="preserve">Table 1: Grain size distribution parameters in this study</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center"/>
                  </w:pPr>
                  <w:r>
                    <w:t xml:space="preserve">Parameter</w:t>
                  </w:r>
                </w:p>
              </w:tc>
              <w:tc>
                <w:tcPr/>
                <w:p>
                  <w:pPr>
                    <w:pStyle w:val="Compact"/>
                    <w:jc w:val="center"/>
                  </w:pPr>
                  <w:r>
                    <w:t xml:space="preserve">Value(s) in study</w:t>
                  </w:r>
                </w:p>
              </w:tc>
            </w:tr>
            <w:tr>
              <w:tc>
                <w:tcPr/>
                <w:p>
                  <w:pPr>
                    <w:pStyle w:val="Compact"/>
                    <w:jc w:val="center"/>
                  </w:pPr>
                  <m:oMath>
                    <m:sSub>
                      <m:e>
                        <m:r>
                          <m:t>x</m:t>
                        </m:r>
                      </m:e>
                      <m:sub>
                        <m:r>
                          <m:t>m</m:t>
                        </m:r>
                        <m:r>
                          <m:t>i</m:t>
                        </m:r>
                        <m:r>
                          <m:t>n</m:t>
                        </m:r>
                        <m:r>
                          <m:rPr>
                            <m:sty m:val="p"/>
                          </m:rPr>
                          <m:t>+</m:t>
                        </m:r>
                        <m:r>
                          <m:t>1</m:t>
                        </m:r>
                      </m:sub>
                    </m:sSub>
                  </m:oMath>
                </w:p>
              </w:tc>
              <w:tc>
                <w:tcPr/>
                <w:p>
                  <w:pPr>
                    <w:pStyle w:val="Compact"/>
                    <w:jc w:val="center"/>
                  </w:pPr>
                  <w:r>
                    <w:t xml:space="preserve">0.075 to 25 mm</w:t>
                  </w:r>
                </w:p>
              </w:tc>
            </w:tr>
            <w:tr>
              <w:tc>
                <w:tcPr/>
                <w:p>
                  <w:pPr>
                    <w:pStyle w:val="Compact"/>
                    <w:jc w:val="center"/>
                  </w:pPr>
                  <m:oMath>
                    <m:sSub>
                      <m:e>
                        <m:r>
                          <m:t>x</m:t>
                        </m:r>
                      </m:e>
                      <m:sub>
                        <m:r>
                          <m:t>m</m:t>
                        </m:r>
                        <m:r>
                          <m:t>a</m:t>
                        </m:r>
                        <m:r>
                          <m:t>x</m:t>
                        </m:r>
                      </m:sub>
                    </m:sSub>
                  </m:oMath>
                </w:p>
              </w:tc>
              <w:tc>
                <w:tcPr/>
                <w:p>
                  <w:pPr>
                    <w:pStyle w:val="Compact"/>
                    <w:jc w:val="center"/>
                  </w:pPr>
                  <w:r>
                    <w:t xml:space="preserve">9.5 to 75 mm</w:t>
                  </w:r>
                </w:p>
              </w:tc>
            </w:tr>
            <w:tr>
              <w:tc>
                <w:tcPr/>
                <w:p>
                  <w:pPr>
                    <w:pStyle w:val="Compact"/>
                    <w:jc w:val="center"/>
                  </w:pPr>
                  <w:r>
                    <w:t xml:space="preserve">Sieves in</w:t>
                  </w:r>
                  <w:r>
                    <w:t xml:space="preserve"> </w:t>
                  </w:r>
                  <m:oMath>
                    <m:r>
                      <m:t>G</m:t>
                    </m:r>
                  </m:oMath>
                </w:p>
              </w:tc>
              <w:tc>
                <w:tcPr/>
                <w:p>
                  <w:pPr>
                    <w:pStyle w:val="Compact"/>
                    <w:jc w:val="center"/>
                  </w:pPr>
                  <w:r>
                    <w:t xml:space="preserve">5 to 14</w:t>
                  </w:r>
                </w:p>
              </w:tc>
            </w:tr>
            <w:tr>
              <w:tc>
                <w:tcPr/>
                <w:p>
                  <w:pPr>
                    <w:pStyle w:val="Compact"/>
                    <w:jc w:val="center"/>
                  </w:pPr>
                  <w:r>
                    <w:t xml:space="preserve">Instances of</w:t>
                  </w:r>
                  <w:r>
                    <w:t xml:space="preserve"> </w:t>
                  </w:r>
                  <m:oMath>
                    <m:r>
                      <m:t>G</m:t>
                    </m:r>
                  </m:oMath>
                </w:p>
              </w:tc>
              <w:tc>
                <w:tcPr/>
                <w:p>
                  <w:pPr>
                    <w:pStyle w:val="Compact"/>
                    <w:jc w:val="center"/>
                  </w:pPr>
                  <w:r>
                    <w:t xml:space="preserve">2750</w:t>
                  </w:r>
                </w:p>
              </w:tc>
            </w:tr>
            <w:tr>
              <w:tc>
                <w:tcPr/>
                <w:p>
                  <w:pPr>
                    <w:pStyle w:val="Compact"/>
                    <w:jc w:val="center"/>
                  </w:pPr>
                  <m:oMath>
                    <m:sSub>
                      <m:e>
                        <m:r>
                          <m:t>C</m:t>
                        </m:r>
                      </m:e>
                      <m:sub>
                        <m:r>
                          <m:t>c</m:t>
                        </m:r>
                      </m:sub>
                    </m:sSub>
                  </m:oMath>
                </w:p>
              </w:tc>
              <w:tc>
                <w:tcPr/>
                <w:p>
                  <w:pPr>
                    <w:pStyle w:val="Compact"/>
                    <w:jc w:val="center"/>
                  </w:pPr>
                  <w:r>
                    <w:t xml:space="preserve">0.2 to 25.5</w:t>
                  </w:r>
                </w:p>
              </w:tc>
            </w:tr>
            <w:tr>
              <w:tc>
                <w:tcPr/>
                <w:p>
                  <w:pPr>
                    <w:pStyle w:val="Compact"/>
                    <w:jc w:val="center"/>
                  </w:pPr>
                  <m:oMath>
                    <m:sSub>
                      <m:e>
                        <m:r>
                          <m:t>C</m:t>
                        </m:r>
                      </m:e>
                      <m:sub>
                        <m:r>
                          <m:t>u</m:t>
                        </m:r>
                      </m:sub>
                    </m:sSub>
                  </m:oMath>
                </w:p>
              </w:tc>
              <w:tc>
                <w:tcPr/>
                <w:p>
                  <w:pPr>
                    <w:pStyle w:val="Compact"/>
                    <w:jc w:val="center"/>
                  </w:pPr>
                  <w:r>
                    <w:t xml:space="preserve">1.2 to 214.5</w:t>
                  </w:r>
                </w:p>
              </w:tc>
            </w:tr>
            <w:tr>
              <w:tc>
                <w:tcPr/>
                <w:p>
                  <w:pPr>
                    <w:pStyle w:val="Compact"/>
                    <w:jc w:val="center"/>
                  </w:pPr>
                  <m:oMath>
                    <m:sSub>
                      <m:e>
                        <m:r>
                          <m:t>I</m:t>
                        </m:r>
                      </m:e>
                      <m:sub>
                        <m:r>
                          <m:t>G</m:t>
                        </m:r>
                        <m:r>
                          <m:t>S</m:t>
                        </m:r>
                      </m:sub>
                    </m:sSub>
                  </m:oMath>
                </w:p>
              </w:tc>
              <w:tc>
                <w:tcPr/>
                <w:p>
                  <w:pPr>
                    <w:pStyle w:val="Compact"/>
                    <w:jc w:val="center"/>
                  </w:pPr>
                  <w:r>
                    <w:t xml:space="preserve">0.03 to 0.60</w:t>
                  </w:r>
                </w:p>
              </w:tc>
            </w:tr>
            <w:tr>
              <w:tc>
                <w:tcPr/>
                <w:p>
                  <w:pPr>
                    <w:pStyle w:val="Compact"/>
                    <w:jc w:val="center"/>
                  </w:pPr>
                  <m:oMath>
                    <m:sSub>
                      <m:e>
                        <m:r>
                          <m:t>I</m:t>
                        </m:r>
                      </m:e>
                      <m:sub>
                        <m:r>
                          <m:t>C</m:t>
                        </m:r>
                      </m:sub>
                    </m:sSub>
                  </m:oMath>
                </w:p>
              </w:tc>
              <w:tc>
                <w:tcPr/>
                <w:p>
                  <w:pPr>
                    <w:pStyle w:val="Compact"/>
                    <w:jc w:val="center"/>
                  </w:pPr>
                  <w:r>
                    <w:t xml:space="preserve">0.29 to 1.57</w:t>
                  </w:r>
                </w:p>
              </w:tc>
            </w:tr>
          </w:tbl>
          <w:bookmarkEnd w:id="40"/>
          <w:p/>
        </w:tc>
      </w:tr>
    </w:tbl>
    <w:tbl>
      <w:tblPr>
        <w:tblStyle w:val="Table"/>
        <w:tblW w:type="pct" w:w="5000"/>
        <w:tblLayout w:type="fixed"/>
        <w:tblLook w:firstRow="0" w:lastRow="0" w:firstColumn="0" w:lastColumn="0" w:noHBand="0" w:noVBand="0" w:val="0000"/>
      </w:tblPr>
      <w:tblGrid>
        <w:gridCol w:w="7920"/>
      </w:tblGrid>
      <w:tr>
        <w:tc>
          <w:tcPr/>
          <w:bookmarkStart w:id="44" w:name="fig-gsd_curvature_index"/>
          <w:p>
            <w:pPr>
              <w:pStyle w:val="Compact"/>
              <w:jc w:val="center"/>
            </w:pPr>
            <w:r>
              <w:drawing>
                <wp:inline>
                  <wp:extent cx="4260324" cy="3410093"/>
                  <wp:effectExtent b="0" l="0" r="0" t="0"/>
                  <wp:docPr descr="" title="" id="42" name="Picture"/>
                  <a:graphic>
                    <a:graphicData uri="http://schemas.openxmlformats.org/drawingml/2006/picture">
                      <pic:pic>
                        <pic:nvPicPr>
                          <pic:cNvPr descr="minimal_packing_files/figure-docx/fig-gsd_curvature_index-output-1.png" id="43" name="Picture"/>
                          <pic:cNvPicPr>
                            <a:picLocks noChangeArrowheads="1" noChangeAspect="1"/>
                          </pic:cNvPicPr>
                        </pic:nvPicPr>
                        <pic:blipFill>
                          <a:blip r:embed="rId41"/>
                          <a:stretch>
                            <a:fillRect/>
                          </a:stretch>
                        </pic:blipFill>
                        <pic:spPr bwMode="auto">
                          <a:xfrm>
                            <a:off x="0" y="0"/>
                            <a:ext cx="4260324" cy="341009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Grain size distributions evaluated. The area ratio defining the curvature index is shown. The example curve has a curvature index of 1.09.</w:t>
            </w:r>
          </w:p>
          <w:bookmarkEnd w:id="44"/>
        </w:tc>
      </w:tr>
    </w:tbl>
    <w:bookmarkEnd w:id="45"/>
    <w:bookmarkStart w:id="52" w:name="minimal-discrete-match-solution"/>
    <w:p>
      <w:pPr>
        <w:pStyle w:val="Heading2"/>
      </w:pPr>
      <w:r>
        <w:t xml:space="preserve">Minimal discrete match solution</w:t>
      </w:r>
    </w:p>
    <w:p>
      <w:pPr>
        <w:pStyle w:val="FirstParagraph"/>
      </w:pPr>
      <w:r>
        <w:t xml:space="preserve">For any given</w:t>
      </w:r>
      <w:r>
        <w:t xml:space="preserve"> </w:t>
      </w:r>
      <m:oMath>
        <m:r>
          <m:t>S</m:t>
        </m:r>
      </m:oMath>
      <w:r>
        <w:t xml:space="preserve">, finding</w:t>
      </w:r>
      <w:r>
        <w:t xml:space="preserve"> </w:t>
      </w:r>
      <m:oMath>
        <m:r>
          <m:t>G</m:t>
        </m:r>
      </m:oMath>
      <w:r>
        <w:t xml:space="preserve"> </w:t>
      </w:r>
      <w:r>
        <w:t xml:space="preserve">that accurately describes</w:t>
      </w:r>
      <w:r>
        <w:t xml:space="preserve"> </w:t>
      </w:r>
      <m:oMath>
        <m:r>
          <m:t>S</m:t>
        </m:r>
      </m:oMath>
      <w:r>
        <w:t xml:space="preserve"> </w:t>
      </w:r>
      <w:r>
        <w:t xml:space="preserve">is no more complicated that following the grain size analysis procedure described in ASTM D6913</w:t>
      </w:r>
      <w:r>
        <w:t xml:space="preserve"> </w:t>
      </w:r>
      <w:r>
        <w:t xml:space="preserve">(D18 Committee, n.d.)</w:t>
      </w:r>
      <w:r>
        <w:t xml:space="preserve">.</w:t>
      </w:r>
      <w:r>
        <w:t xml:space="preserve"> </w:t>
      </w:r>
      <w:r>
        <w:t xml:space="preserve">The reverse, finding a solution for</w:t>
      </w:r>
      <w:r>
        <w:t xml:space="preserve"> </w:t>
      </w:r>
      <m:oMath>
        <m:r>
          <m:t>S</m:t>
        </m:r>
      </m:oMath>
      <w:r>
        <w:t xml:space="preserve"> </w:t>
      </w:r>
      <w:r>
        <w:t xml:space="preserve">that is accurately described by some target</w:t>
      </w:r>
      <w:r>
        <w:t xml:space="preserve"> </w:t>
      </w:r>
      <m:oMath>
        <m:r>
          <m:t>G</m:t>
        </m:r>
      </m:oMath>
      <w:r>
        <w:t xml:space="preserve">, is non-trivial.</w:t>
      </w:r>
      <w:r>
        <w:t xml:space="preserve"> </w:t>
      </w:r>
      <w:r>
        <w:t xml:space="preserve">One of the reasons is that unlike a grain size analysis, the sizes of the solution (</w:t>
      </w:r>
      <m:oMath>
        <m:sSub>
          <m:e>
            <m:r>
              <m:t>X</m:t>
            </m:r>
          </m:e>
          <m:sub>
            <m:r>
              <m:t>S</m:t>
            </m:r>
          </m:sub>
        </m:sSub>
      </m:oMath>
      <w:r>
        <w:t xml:space="preserve">) are bounded, but not explicitly defined.</w:t>
      </w:r>
      <w:r>
        <w:t xml:space="preserve"> </w:t>
      </w:r>
      <w:r>
        <w:t xml:space="preserve">Additionally, the goal for this procedure is not only to find any</w:t>
      </w:r>
      <w:r>
        <w:t xml:space="preserve"> </w:t>
      </w:r>
      <m:oMath>
        <m:r>
          <m:t>S</m:t>
        </m:r>
      </m:oMath>
      <w:r>
        <w:t xml:space="preserve"> </w:t>
      </w:r>
      <w:r>
        <w:t xml:space="preserve">that is accurately described by</w:t>
      </w:r>
      <w:r>
        <w:t xml:space="preserve"> </w:t>
      </w:r>
      <m:oMath>
        <m:r>
          <m:t>G</m:t>
        </m:r>
      </m:oMath>
      <w:r>
        <w:t xml:space="preserve">, but the minimal packing set</w:t>
      </w:r>
      <w:r>
        <w:t xml:space="preserve"> </w:t>
      </w:r>
      <m:oMath>
        <m:sSub>
          <m:e>
            <m:r>
              <m:t>S</m:t>
            </m:r>
          </m:e>
          <m:sub>
            <m:r>
              <m:t>m</m:t>
            </m:r>
            <m:r>
              <m:t>i</m:t>
            </m:r>
            <m:r>
              <m:t>n</m:t>
            </m:r>
          </m:sub>
        </m:sSub>
      </m:oMath>
      <w:r>
        <w:t xml:space="preserve"> </w:t>
      </w:r>
      <w:r>
        <w:t xml:space="preserve">that is accurately described by</w:t>
      </w:r>
      <w:r>
        <w:t xml:space="preserve"> </w:t>
      </w:r>
      <m:oMath>
        <m:r>
          <m:t>G</m:t>
        </m:r>
      </m:oMath>
      <w:r>
        <w:t xml:space="preserve">.</w:t>
      </w:r>
    </w:p>
    <w:p>
      <w:pPr>
        <w:pStyle w:val="BodyText"/>
      </w:pPr>
      <w:r>
        <w:t xml:space="preserve">As a starting point, assuming that</w:t>
      </w:r>
      <w:r>
        <w:t xml:space="preserve"> </w:t>
      </w:r>
      <m:oMath>
        <m:r>
          <m:t>G</m:t>
        </m:r>
      </m:oMath>
      <w:r>
        <w:t xml:space="preserve"> </w:t>
      </w:r>
      <w:r>
        <w:t xml:space="preserve">is an articulate description of</w:t>
      </w:r>
      <w:r>
        <w:t xml:space="preserve"> </w:t>
      </w:r>
      <m:oMath>
        <m:r>
          <m:t>S</m:t>
        </m:r>
      </m:oMath>
      <w:r>
        <w:t xml:space="preserve"> </w:t>
      </w:r>
      <w:r>
        <w:t xml:space="preserve">and selecting any valid values for</w:t>
      </w:r>
      <w:r>
        <w:t xml:space="preserve"> </w:t>
      </w:r>
      <m:oMath>
        <m:sSub>
          <m:e>
            <m:r>
              <m:t>X</m:t>
            </m:r>
          </m:e>
          <m:sub>
            <m:r>
              <m:t>S</m:t>
            </m:r>
          </m:sub>
        </m:sSub>
      </m:oMath>
      <w:r>
        <w:t xml:space="preserve">, an indexed set of mass ratios,</w:t>
      </w:r>
      <w:r>
        <w:t xml:space="preserve"> </w:t>
      </w:r>
      <m:oMath>
        <m:r>
          <m:t>Φ</m:t>
        </m:r>
      </m:oMath>
      <w:r>
        <w:t xml:space="preserve">, and volume ratios,</w:t>
      </w:r>
      <w:r>
        <w:t xml:space="preserve"> </w:t>
      </w:r>
      <m:oMath>
        <m:r>
          <m:t>Z</m:t>
        </m:r>
      </m:oMath>
      <w:r>
        <w:t xml:space="preserve"> </w:t>
      </w:r>
      <w:r>
        <w:t xml:space="preserve">can be defined:</w:t>
      </w:r>
    </w:p>
    <w:p>
      <w:pPr>
        <w:pStyle w:val="BodyText"/>
      </w:pPr>
      <m:oMathPara>
        <m:oMathParaPr>
          <m:jc m:val="center"/>
        </m:oMathParaPr>
        <m:oMath>
          <m:r>
            <m:t>Φ</m:t>
          </m:r>
          <m:r>
            <m:rPr>
              <m:sty m:val="p"/>
            </m:rPr>
            <m:t>=</m:t>
          </m:r>
          <m:d>
            <m:dPr>
              <m:begChr m:val="{"/>
              <m:endChr m:val="}"/>
              <m:sepChr m:val=""/>
              <m:grow/>
            </m:dPr>
            <m:e>
              <m:f>
                <m:fPr>
                  <m:type m:val="bar"/>
                </m:fPr>
                <m:num>
                  <m:sSub>
                    <m:e>
                      <m:r>
                        <m:t>m</m:t>
                      </m:r>
                    </m:e>
                    <m:sub>
                      <m:r>
                        <m:t>j</m:t>
                      </m:r>
                    </m:sub>
                  </m:sSub>
                </m:num>
                <m:den>
                  <m:sSub>
                    <m:e>
                      <m:r>
                        <m:t>m</m:t>
                      </m:r>
                    </m:e>
                    <m:sub>
                      <m:sSub>
                        <m:e>
                          <m:r>
                            <m:t>n</m:t>
                          </m:r>
                        </m:e>
                        <m:sub>
                          <m:r>
                            <m:t>G</m:t>
                          </m:r>
                        </m:sub>
                      </m:sSub>
                      <m:r>
                        <m:rPr>
                          <m:sty m:val="p"/>
                        </m:rPr>
                        <m:t>−</m:t>
                      </m:r>
                      <m:r>
                        <m:t>1</m:t>
                      </m:r>
                    </m:sub>
                  </m:sSub>
                </m:den>
              </m:f>
              <m:r>
                <m:rPr>
                  <m:sty m:val="p"/>
                </m:rPr>
                <m:t>:</m:t>
              </m:r>
              <m:r>
                <m:t>j</m:t>
              </m:r>
              <m:r>
                <m:rPr>
                  <m:sty m:val="p"/>
                </m:rPr>
                <m:t>∈</m:t>
              </m:r>
              <m:sSub>
                <m:e>
                  <m:r>
                    <m:t>I</m:t>
                  </m:r>
                </m:e>
                <m:sub>
                  <m:r>
                    <m:t>G</m:t>
                  </m:r>
                </m:sub>
              </m:sSub>
            </m:e>
          </m:d>
          <m:r>
            <m:rPr>
              <m:nor/>
              <m:sty m:val="p"/>
            </m:rPr>
            <m:t>; with elements </m:t>
          </m:r>
          <m:sSub>
            <m:e>
              <m:r>
                <m:t>ϕ</m:t>
              </m:r>
            </m:e>
            <m:sub>
              <m:r>
                <m:t>j</m:t>
              </m:r>
            </m:sub>
          </m:sSub>
        </m:oMath>
      </m:oMathPara>
    </w:p>
    <w:p>
      <w:pPr>
        <w:pStyle w:val="FirstParagraph"/>
      </w:pPr>
      <m:oMathPara>
        <m:oMathParaPr>
          <m:jc m:val="center"/>
        </m:oMathParaPr>
        <m:oMath>
          <m:r>
            <m:t>Z</m:t>
          </m:r>
          <m:r>
            <m:rPr>
              <m:sty m:val="p"/>
            </m:rPr>
            <m:t>=</m:t>
          </m:r>
          <m:d>
            <m:dPr>
              <m:begChr m:val="{"/>
              <m:endChr m:val="}"/>
              <m:sepChr m:val=""/>
              <m:grow/>
            </m:dPr>
            <m:e>
              <m:f>
                <m:fPr>
                  <m:type m:val="bar"/>
                </m:fPr>
                <m:num>
                  <m:r>
                    <m:t>f</m:t>
                  </m:r>
                  <m:d>
                    <m:dPr>
                      <m:begChr m:val="("/>
                      <m:endChr m:val=")"/>
                      <m:sepChr m:val=""/>
                      <m:grow/>
                    </m:dPr>
                    <m:e>
                      <m:sSub>
                        <m:e>
                          <m:r>
                            <m:t>x</m:t>
                          </m:r>
                        </m:e>
                        <m:sub>
                          <m:r>
                            <m:t>n</m:t>
                          </m:r>
                          <m:r>
                            <m:t>S</m:t>
                          </m:r>
                        </m:sub>
                      </m:sSub>
                    </m:e>
                  </m:d>
                </m:num>
                <m:den>
                  <m:r>
                    <m:t>f</m:t>
                  </m:r>
                  <m:d>
                    <m:dPr>
                      <m:begChr m:val="("/>
                      <m:endChr m:val=")"/>
                      <m:sepChr m:val=""/>
                      <m:grow/>
                    </m:dPr>
                    <m:e>
                      <m:sSub>
                        <m:e>
                          <m:r>
                            <m:t>x</m:t>
                          </m:r>
                        </m:e>
                        <m:sub>
                          <m:r>
                            <m:t>i</m:t>
                          </m:r>
                        </m:sub>
                      </m:sSub>
                    </m:e>
                  </m:d>
                </m:den>
              </m:f>
              <m:r>
                <m:rPr>
                  <m:sty m:val="p"/>
                </m:rPr>
                <m:t>:</m:t>
              </m:r>
              <m:r>
                <m:t>i</m:t>
              </m:r>
              <m:r>
                <m:rPr>
                  <m:sty m:val="p"/>
                </m:rPr>
                <m:t>∈</m:t>
              </m:r>
              <m:sSub>
                <m:e>
                  <m:r>
                    <m:t>I</m:t>
                  </m:r>
                </m:e>
                <m:sub>
                  <m:r>
                    <m:t>S</m:t>
                  </m:r>
                </m:sub>
              </m:sSub>
            </m:e>
          </m:d>
          <m:r>
            <m:rPr>
              <m:nor/>
              <m:sty m:val="p"/>
            </m:rPr>
            <m:t>; with elements </m:t>
          </m:r>
          <m:sSub>
            <m:e>
              <m:r>
                <m:t>ζ</m:t>
              </m:r>
            </m:e>
            <m:sub>
              <m:r>
                <m:t>i</m:t>
              </m:r>
            </m:sub>
          </m:sSub>
        </m:oMath>
      </m:oMathPara>
    </w:p>
    <w:p>
      <w:pPr>
        <w:pStyle w:val="FirstParagraph"/>
      </w:pPr>
      <w:r>
        <w:t xml:space="preserve">The mass ratio</w:t>
      </w:r>
      <w:r>
        <w:t xml:space="preserve"> </w:t>
      </w:r>
      <m:oMath>
        <m:r>
          <m:t>Φ</m:t>
        </m:r>
      </m:oMath>
      <w:r>
        <w:t xml:space="preserve"> </w:t>
      </w:r>
      <w:r>
        <w:t xml:space="preserve">describes the masses in</w:t>
      </w:r>
      <w:r>
        <w:t xml:space="preserve"> </w:t>
      </w:r>
      <m:oMath>
        <m:sSub>
          <m:e>
            <m:r>
              <m:t>M</m:t>
            </m:r>
          </m:e>
          <m:sub>
            <m:r>
              <m:t>G</m:t>
            </m:r>
          </m:sub>
        </m:sSub>
      </m:oMath>
      <w:r>
        <w:t xml:space="preserve"> </w:t>
      </w:r>
      <w:r>
        <w:t xml:space="preserve">relative the the mass of the largest size retaining mass.</w:t>
      </w:r>
      <w:r>
        <w:t xml:space="preserve"> </w:t>
      </w:r>
      <w:r>
        <w:t xml:space="preserve">Consequently,</w:t>
      </w:r>
      <w:r>
        <w:t xml:space="preserve"> </w:t>
      </w:r>
      <m:oMath>
        <m:sSub>
          <m:e>
            <m:r>
              <m:t>ϕ</m:t>
            </m:r>
          </m:e>
          <m:sub>
            <m:r>
              <m:t>n</m:t>
            </m:r>
            <m:r>
              <m:t>G</m:t>
            </m:r>
            <m:r>
              <m:rPr>
                <m:sty m:val="p"/>
              </m:rPr>
              <m:t>−</m:t>
            </m:r>
            <m:r>
              <m:t>1</m:t>
            </m:r>
          </m:sub>
        </m:sSub>
      </m:oMath>
      <w:r>
        <w:t xml:space="preserve"> </w:t>
      </w:r>
      <w:r>
        <w:t xml:space="preserve">will always equal 1.</w:t>
      </w:r>
      <w:r>
        <w:t xml:space="preserve"> </w:t>
      </w:r>
      <w:r>
        <w:t xml:space="preserve">The volume ratio</w:t>
      </w:r>
      <w:r>
        <w:t xml:space="preserve"> </w:t>
      </w:r>
      <m:oMath>
        <m:r>
          <m:t>Z</m:t>
        </m:r>
      </m:oMath>
      <w:r>
        <w:t xml:space="preserve"> </w:t>
      </w:r>
      <w:r>
        <w:t xml:space="preserve">describes the relative volume of each particle size to that of the largest particle size in</w:t>
      </w:r>
      <w:r>
        <w:t xml:space="preserve"> </w:t>
      </w:r>
      <m:oMath>
        <m:r>
          <m:t>S</m:t>
        </m:r>
      </m:oMath>
      <w:r>
        <w:t xml:space="preserve">.</w:t>
      </w:r>
      <w:r>
        <w:t xml:space="preserve"> </w:t>
      </w:r>
      <w:r>
        <w:t xml:space="preserve">Consequently,</w:t>
      </w:r>
      <w:r>
        <w:t xml:space="preserve"> </w:t>
      </w:r>
      <m:oMath>
        <m:sSub>
          <m:e>
            <m:r>
              <m:t>ζ</m:t>
            </m:r>
          </m:e>
          <m:sub>
            <m:r>
              <m:t>n</m:t>
            </m:r>
            <m:r>
              <m:t>S</m:t>
            </m:r>
          </m:sub>
        </m:sSub>
      </m:oMath>
      <w:r>
        <w:t xml:space="preserve"> </w:t>
      </w:r>
      <w:r>
        <w:t xml:space="preserve">will always equal 1.</w:t>
      </w:r>
      <w:r>
        <w:t xml:space="preserve"> </w:t>
      </w:r>
      <w:r>
        <w:t xml:space="preserve">Note that</w:t>
      </w:r>
      <w:r>
        <w:t xml:space="preserve"> </w:t>
      </w:r>
      <m:oMath>
        <m:r>
          <m:t>Z</m:t>
        </m:r>
      </m:oMath>
      <w:r>
        <w:t xml:space="preserve"> </w:t>
      </w:r>
      <w:r>
        <w:t xml:space="preserve">is referred to as a volume ratio to avoid confusion with</w:t>
      </w:r>
      <w:r>
        <w:t xml:space="preserve"> </w:t>
      </w:r>
      <m:oMath>
        <m:r>
          <m:t>Φ</m:t>
        </m:r>
      </m:oMath>
      <w:r>
        <w:t xml:space="preserve"> </w:t>
      </w:r>
      <w:r>
        <w:t xml:space="preserve">despite the fact that the mapping function</w:t>
      </w:r>
      <w:r>
        <w:t xml:space="preserve"> </w:t>
      </w:r>
      <m:oMath>
        <m:r>
          <m:t>f</m:t>
        </m:r>
        <m:d>
          <m:dPr>
            <m:begChr m:val="("/>
            <m:endChr m:val=")"/>
            <m:sepChr m:val=""/>
            <m:grow/>
          </m:dPr>
          <m:e>
            <m:r>
              <m:t>x</m:t>
            </m:r>
          </m:e>
        </m:d>
      </m:oMath>
      <w:r>
        <w:t xml:space="preserve"> </w:t>
      </w:r>
      <w:r>
        <w:t xml:space="preserve">converts size to mass.</w:t>
      </w:r>
      <w:r>
        <w:t xml:space="preserve"> </w:t>
      </w:r>
      <w:r>
        <w:t xml:space="preserve">Interpreting</w:t>
      </w:r>
      <w:r>
        <w:t xml:space="preserve"> </w:t>
      </w:r>
      <m:oMath>
        <m:r>
          <m:t>Z</m:t>
        </m:r>
      </m:oMath>
      <w:r>
        <w:t xml:space="preserve"> </w:t>
      </w:r>
      <w:r>
        <w:t xml:space="preserve">as a volume ratio is valid under a constant density assumption.</w:t>
      </w:r>
    </w:p>
    <w:p>
      <w:pPr>
        <w:pStyle w:val="BodyText"/>
      </w:pPr>
      <w:r>
        <w:t xml:space="preserve">Since</w:t>
      </w:r>
      <w:r>
        <w:t xml:space="preserve"> </w:t>
      </w:r>
      <m:oMath>
        <m:r>
          <m:t>Φ</m:t>
        </m:r>
      </m:oMath>
      <w:r>
        <w:t xml:space="preserve"> </w:t>
      </w:r>
      <w:r>
        <w:t xml:space="preserve">describes relative masses of each size and</w:t>
      </w:r>
      <w:r>
        <w:t xml:space="preserve"> </w:t>
      </w:r>
      <m:oMath>
        <m:r>
          <m:t>Z</m:t>
        </m:r>
      </m:oMath>
      <w:r>
        <w:t xml:space="preserve"> </w:t>
      </w:r>
      <w:r>
        <w:t xml:space="preserve">describes the relative volume (and mass) per particle of each size, a quantity ratio,</w:t>
      </w:r>
      <w:r>
        <w:t xml:space="preserve"> </w:t>
      </w:r>
      <m:oMath>
        <m:r>
          <m:t>K</m:t>
        </m:r>
      </m:oMath>
      <w:r>
        <w:t xml:space="preserve">, can be defined by the product of</w:t>
      </w:r>
      <w:r>
        <w:t xml:space="preserve"> </w:t>
      </w:r>
      <m:oMath>
        <m:r>
          <m:t>Φ</m:t>
        </m:r>
      </m:oMath>
      <w:r>
        <w:t xml:space="preserve"> </w:t>
      </w:r>
      <w:r>
        <w:t xml:space="preserve">and</w:t>
      </w:r>
      <w:r>
        <w:t xml:space="preserve"> </w:t>
      </w:r>
      <m:oMath>
        <m:r>
          <m:t>Z</m:t>
        </m:r>
      </m:oMath>
      <w:r>
        <w:t xml:space="preserve">.</w:t>
      </w:r>
    </w:p>
    <w:p>
      <w:pPr>
        <w:pStyle w:val="BodyText"/>
      </w:pPr>
      <m:oMathPara>
        <m:oMathParaPr>
          <m:jc m:val="center"/>
        </m:oMathParaPr>
        <m:oMath>
          <m:r>
            <m:t>K</m:t>
          </m:r>
          <m:r>
            <m:rPr>
              <m:sty m:val="p"/>
            </m:rPr>
            <m:t>=</m:t>
          </m:r>
          <m:d>
            <m:dPr>
              <m:begChr m:val="{"/>
              <m:endChr m:val="}"/>
              <m:sepChr m:val=""/>
              <m:grow/>
            </m:dPr>
            <m:e>
              <m:sSub>
                <m:e>
                  <m:r>
                    <m:t>ϕ</m:t>
                  </m:r>
                </m:e>
                <m:sub>
                  <m:r>
                    <m:t>i</m:t>
                  </m:r>
                </m:sub>
              </m:sSub>
              <m:r>
                <m:rPr>
                  <m:sty m:val="p"/>
                </m:rPr>
                <m:t>×</m:t>
              </m:r>
              <m:sSub>
                <m:e>
                  <m:r>
                    <m:t>ζ</m:t>
                  </m:r>
                </m:e>
                <m:sub>
                  <m:r>
                    <m:t>i</m:t>
                  </m:r>
                </m:sub>
              </m:sSub>
              <m:r>
                <m:rPr>
                  <m:sty m:val="p"/>
                </m:rPr>
                <m:t>:</m:t>
              </m:r>
              <m:r>
                <m:t>i</m:t>
              </m:r>
              <m:r>
                <m:rPr>
                  <m:sty m:val="p"/>
                </m:rPr>
                <m:t>∈</m:t>
              </m:r>
              <m:sSub>
                <m:e>
                  <m:r>
                    <m:t>I</m:t>
                  </m:r>
                </m:e>
                <m:sub>
                  <m:r>
                    <m:t>S</m:t>
                  </m:r>
                </m:sub>
              </m:sSub>
            </m:e>
          </m:d>
          <m:r>
            <m:rPr>
              <m:nor/>
              <m:sty m:val="p"/>
            </m:rPr>
            <m:t>; with elements </m:t>
          </m:r>
          <m:sSub>
            <m:e>
              <m:r>
                <m:t>κ</m:t>
              </m:r>
            </m:e>
            <m:sub>
              <m:r>
                <m:t>i</m:t>
              </m:r>
            </m:sub>
          </m:sSub>
        </m:oMath>
      </m:oMathPara>
    </w:p>
    <w:p>
      <w:pPr>
        <w:pStyle w:val="FirstParagraph"/>
      </w:pPr>
      <w:r>
        <w:t xml:space="preserve">The quantity ratio</w:t>
      </w:r>
      <w:r>
        <w:t xml:space="preserve"> </w:t>
      </w:r>
      <m:oMath>
        <m:r>
          <m:t>K</m:t>
        </m:r>
      </m:oMath>
      <w:r>
        <w:t xml:space="preserve"> </w:t>
      </w:r>
      <w:r>
        <w:t xml:space="preserve">is the relative number of particles of each size for any</w:t>
      </w:r>
      <w:r>
        <w:t xml:space="preserve"> </w:t>
      </w:r>
      <m:oMath>
        <m:r>
          <m:t>S</m:t>
        </m:r>
      </m:oMath>
      <w:r>
        <w:t xml:space="preserve"> </w:t>
      </w:r>
      <w:r>
        <w:t xml:space="preserve">accurately described by</w:t>
      </w:r>
      <w:r>
        <w:t xml:space="preserve"> </w:t>
      </w:r>
      <m:oMath>
        <m:r>
          <m:t>G</m:t>
        </m:r>
      </m:oMath>
      <w:r>
        <w:t xml:space="preserve">.</w:t>
      </w:r>
      <w:r>
        <w:t xml:space="preserve"> </w:t>
      </w:r>
      <w:r>
        <w:t xml:space="preserve">It is directly proportional to the key target parameter,</w:t>
      </w:r>
      <w:r>
        <w:t xml:space="preserve"> </w:t>
      </w:r>
      <m:oMath>
        <m:r>
          <m:t>Q</m:t>
        </m:r>
      </m:oMath>
      <w:r>
        <w:t xml:space="preserve">.</w:t>
      </w:r>
      <w:r>
        <w:t xml:space="preserve"> </w:t>
      </w:r>
      <w:r>
        <w:t xml:space="preserve">Unfortunately, with the exception of</w:t>
      </w:r>
      <w:r>
        <w:t xml:space="preserve"> </w:t>
      </w:r>
      <m:oMath>
        <m:sSub>
          <m:e>
            <m:r>
              <m:t>κ</m:t>
            </m:r>
          </m:e>
          <m:sub>
            <m:r>
              <m:t>n</m:t>
            </m:r>
            <m:r>
              <m:t>S</m:t>
            </m:r>
          </m:sub>
        </m:sSub>
      </m:oMath>
      <w:r>
        <w:t xml:space="preserve">, the entries in</w:t>
      </w:r>
      <w:r>
        <w:t xml:space="preserve"> </w:t>
      </w:r>
      <m:oMath>
        <m:r>
          <m:t>K</m:t>
        </m:r>
      </m:oMath>
      <w:r>
        <w:t xml:space="preserve"> </w:t>
      </w:r>
      <w:r>
        <w:t xml:space="preserve">are not guaranteed to be integers, which is a requirement for</w:t>
      </w:r>
      <w:r>
        <w:t xml:space="preserve"> </w:t>
      </w:r>
      <m:oMath>
        <m:r>
          <m:t>Q</m:t>
        </m:r>
      </m:oMath>
      <w:r>
        <w:t xml:space="preserve">.</w:t>
      </w:r>
      <w:r>
        <w:t xml:space="preserve"> </w:t>
      </w:r>
      <w:r>
        <w:t xml:space="preserve">Rounding each element in</w:t>
      </w:r>
      <w:r>
        <w:t xml:space="preserve"> </w:t>
      </w:r>
      <m:oMath>
        <m:r>
          <m:t>K</m:t>
        </m:r>
      </m:oMath>
      <w:r>
        <w:t xml:space="preserve"> </w:t>
      </w:r>
      <w:r>
        <w:t xml:space="preserve">to the nearest integer provides a first-order, approximate solution for the minimal discrete match.</w:t>
      </w:r>
    </w:p>
    <w:p>
      <w:pPr>
        <w:pStyle w:val="BodyText"/>
      </w:pPr>
      <m:oMathPara>
        <m:oMathParaPr>
          <m:jc m:val="center"/>
        </m:oMathParaPr>
        <m:oMath>
          <m:sSub>
            <m:e>
              <m:r>
                <m:t>S</m:t>
              </m:r>
            </m:e>
            <m:sub>
              <m:r>
                <m:t>a</m:t>
              </m:r>
              <m:r>
                <m:t>p</m:t>
              </m:r>
              <m:r>
                <m:t>p</m:t>
              </m:r>
              <m:r>
                <m:t>r</m:t>
              </m:r>
              <m:r>
                <m:t>o</m:t>
              </m:r>
              <m:r>
                <m:t>x</m:t>
              </m:r>
            </m:sub>
          </m:sSub>
          <m:r>
            <m:rPr>
              <m:sty m:val="p"/>
            </m:rPr>
            <m:t>=</m:t>
          </m:r>
          <m:r>
            <m:rPr>
              <m:sty m:val="p"/>
            </m:rPr>
            <m:t>{</m:t>
          </m:r>
          <m:d>
            <m:dPr>
              <m:begChr m:val="("/>
              <m:endChr m:val=")"/>
              <m:sepChr m:val=""/>
              <m:grow/>
            </m:dPr>
            <m:e>
              <m:r>
                <m:t>X</m:t>
              </m:r>
              <m:r>
                <m:rPr>
                  <m:sty m:val="p"/>
                </m:rPr>
                <m:t>,</m:t>
              </m:r>
              <m:r>
                <m:rPr>
                  <m:nor/>
                  <m:sty m:val="p"/>
                </m:rPr>
                <m:t>int</m:t>
              </m:r>
              <m:d>
                <m:dPr>
                  <m:begChr m:val="("/>
                  <m:endChr m:val=")"/>
                  <m:sepChr m:val=""/>
                  <m:grow/>
                </m:dPr>
                <m:e>
                  <m:r>
                    <m:t>K</m:t>
                  </m:r>
                </m:e>
              </m:d>
            </m:e>
          </m:d>
          <m:r>
            <m:rPr>
              <m:sty m:val="p"/>
            </m:rPr>
            <m:t>∈</m:t>
          </m:r>
          <m:sSub>
            <m:e>
              <m:r>
                <m:t>I</m:t>
              </m:r>
            </m:e>
            <m:sub>
              <m:r>
                <m:t>S</m:t>
              </m:r>
            </m:sub>
          </m:sSub>
          <m:r>
            <m:rPr>
              <m:sty m:val="p"/>
            </m:rPr>
            <m:t>≊</m:t>
          </m:r>
          <m:sSub>
            <m:e>
              <m:r>
                <m:t>S</m:t>
              </m:r>
            </m:e>
            <m:sub>
              <m:r>
                <m:t>m</m:t>
              </m:r>
              <m:r>
                <m:t>i</m:t>
              </m:r>
              <m:r>
                <m:t>n</m:t>
              </m:r>
            </m:sub>
          </m:sSub>
          <m:r>
            <m:rPr>
              <m:sty m:val="p"/>
            </m:rPr>
            <m:t>}</m:t>
          </m:r>
        </m:oMath>
      </m:oMathPara>
    </w:p>
    <w:p>
      <w:pPr>
        <w:pStyle w:val="FirstParagraph"/>
      </w:pPr>
      <w:r>
        <w:t xml:space="preserve">Checking</w:t>
      </w:r>
      <w:r>
        <w:t xml:space="preserve"> </w:t>
      </w:r>
      <m:oMath>
        <m:r>
          <m:rPr>
            <m:nor/>
            <m:sty m:val="p"/>
          </m:rPr>
          <m:t>Cond4</m:t>
        </m:r>
      </m:oMath>
      <w:r>
        <w:t xml:space="preserve"> </w:t>
      </w:r>
      <w:r>
        <w:t xml:space="preserve">against</w:t>
      </w:r>
      <w:r>
        <w:t xml:space="preserve"> </w:t>
      </w:r>
      <m:oMath>
        <m:sSub>
          <m:e>
            <m:r>
              <m:t>S</m:t>
            </m:r>
          </m:e>
          <m:sub>
            <m:r>
              <m:t>a</m:t>
            </m:r>
            <m:r>
              <m:t>p</m:t>
            </m:r>
            <m:r>
              <m:t>p</m:t>
            </m:r>
            <m:r>
              <m:t>r</m:t>
            </m:r>
            <m:r>
              <m:t>o</m:t>
            </m:r>
            <m:r>
              <m:t>x</m:t>
            </m:r>
          </m:sub>
        </m:sSub>
      </m:oMath>
      <w:r>
        <w:t xml:space="preserve"> </w:t>
      </w:r>
      <w:r>
        <w:t xml:space="preserve">and</w:t>
      </w:r>
      <w:r>
        <w:t xml:space="preserve"> </w:t>
      </w:r>
      <m:oMath>
        <m:r>
          <m:t>G</m:t>
        </m:r>
      </m:oMath>
      <w:r>
        <w:t xml:space="preserve"> </w:t>
      </w:r>
      <w:r>
        <w:t xml:space="preserve">shows how much error there is in the approximate solution.</w:t>
      </w:r>
      <w:r>
        <w:t xml:space="preserve"> </w:t>
      </w:r>
      <w:r>
        <w:t xml:space="preserve">Depending on the application and acceptable error tolerance,</w:t>
      </w:r>
      <w:r>
        <w:t xml:space="preserve"> </w:t>
      </w:r>
      <m:oMath>
        <m:sSub>
          <m:e>
            <m:r>
              <m:t>S</m:t>
            </m:r>
          </m:e>
          <m:sub>
            <m:r>
              <m:t>a</m:t>
            </m:r>
            <m:r>
              <m:t>p</m:t>
            </m:r>
            <m:r>
              <m:t>p</m:t>
            </m:r>
            <m:r>
              <m:t>r</m:t>
            </m:r>
            <m:r>
              <m:t>o</m:t>
            </m:r>
            <m:r>
              <m:t>x</m:t>
            </m:r>
          </m:sub>
        </m:sSub>
      </m:oMath>
      <w:r>
        <w:t xml:space="preserve"> </w:t>
      </w:r>
      <w:r>
        <w:t xml:space="preserve">may be a suitable substitute for</w:t>
      </w:r>
      <w:r>
        <w:t xml:space="preserve"> </w:t>
      </w:r>
      <m:oMath>
        <m:sSub>
          <m:e>
            <m:r>
              <m:t>S</m:t>
            </m:r>
          </m:e>
          <m:sub>
            <m:r>
              <m:t>m</m:t>
            </m:r>
            <m:r>
              <m:t>i</m:t>
            </m:r>
            <m:r>
              <m:t>n</m:t>
            </m:r>
          </m:sub>
        </m:sSub>
      </m:oMath>
      <w:r>
        <w:t xml:space="preserve">.</w:t>
      </w:r>
      <w:r>
        <w:t xml:space="preserve"> </w:t>
      </w:r>
      <w:r>
        <w:t xml:space="preserve">If a closer fit is needed, iteratively multiplying</w:t>
      </w:r>
      <w:r>
        <w:t xml:space="preserve"> </w:t>
      </w:r>
      <m:oMath>
        <m:r>
          <m:t>K</m:t>
        </m:r>
      </m:oMath>
      <w:r>
        <w:t xml:space="preserve"> </w:t>
      </w:r>
      <w:r>
        <w:t xml:space="preserve">by integers greater than 1 can be used to reduce the error to tolerable levels.</w:t>
      </w:r>
    </w:p>
    <w:p>
      <w:pPr>
        <w:pStyle w:val="BodyText"/>
      </w:pPr>
      <w:r>
        <w:t xml:space="preserve">But since the sizes in</w:t>
      </w:r>
      <w:r>
        <w:t xml:space="preserve"> </w:t>
      </w:r>
      <m:oMath>
        <m:sSub>
          <m:e>
            <m:r>
              <m:t>X</m:t>
            </m:r>
          </m:e>
          <m:sub>
            <m:r>
              <m:t>S</m:t>
            </m:r>
          </m:sub>
        </m:sSub>
      </m:oMath>
      <w:r>
        <w:t xml:space="preserve"> </w:t>
      </w:r>
      <w:r>
        <w:t xml:space="preserve">are only bounded by</w:t>
      </w:r>
      <w:r>
        <w:t xml:space="preserve"> </w:t>
      </w:r>
      <m:oMath>
        <m:sSub>
          <m:e>
            <m:r>
              <m:t>X</m:t>
            </m:r>
          </m:e>
          <m:sub>
            <m:r>
              <m:t>G</m:t>
            </m:r>
          </m:sub>
        </m:sSub>
      </m:oMath>
      <w:r>
        <w:t xml:space="preserve"> </w:t>
      </w:r>
      <w:r>
        <w:t xml:space="preserve">and not explicitly defined, the opportunity exists to find a better selection of entries in</w:t>
      </w:r>
      <w:r>
        <w:t xml:space="preserve"> </w:t>
      </w:r>
      <m:oMath>
        <m:sSub>
          <m:e>
            <m:r>
              <m:t>X</m:t>
            </m:r>
          </m:e>
          <m:sub>
            <m:r>
              <m:t>S</m:t>
            </m:r>
          </m:sub>
        </m:sSub>
      </m:oMath>
      <w:r>
        <w:t xml:space="preserve"> </w:t>
      </w:r>
      <w:r>
        <w:t xml:space="preserve">that will minimize</w:t>
      </w:r>
      <w:r>
        <w:t xml:space="preserve"> </w:t>
      </w:r>
      <m:oMath>
        <m:sSub>
          <m:e>
            <m:r>
              <m:t>Q</m:t>
            </m:r>
          </m:e>
          <m:sub>
            <m:r>
              <m:t>S</m:t>
            </m:r>
          </m:sub>
        </m:sSub>
      </m:oMath>
      <w:r>
        <w:t xml:space="preserve">.</w:t>
      </w:r>
      <w:r>
        <w:t xml:space="preserve"> </w:t>
      </w:r>
      <w:r>
        <w:t xml:space="preserve">This approach is equivalent to dropping the articulate description (</w:t>
      </w:r>
      <m:oMath>
        <m:r>
          <m:rPr>
            <m:nor/>
            <m:sty m:val="p"/>
          </m:rPr>
          <m:t>Cond3</m:t>
        </m:r>
      </m:oMath>
      <w:r>
        <w:t xml:space="preserve">) requirement from the initial attempt because it allows for any sizes bounded by the respective sieve sizes in</w:t>
      </w:r>
      <w:r>
        <w:t xml:space="preserve"> </w:t>
      </w:r>
      <m:oMath>
        <m:r>
          <m:t>G</m:t>
        </m:r>
      </m:oMath>
      <w:r>
        <w:t xml:space="preserve">.</w:t>
      </w:r>
      <w:r>
        <w:t xml:space="preserve"> </w:t>
      </w:r>
      <w:r>
        <w:t xml:space="preserve">For this study, the maximum particle size is assumed to be fixed at it’s minimum allowable size, however, the procedure will work for any allowable choice for maximum particle size.</w:t>
      </w:r>
    </w:p>
    <w:p>
      <w:pPr>
        <w:pStyle w:val="BodyText"/>
      </w:pPr>
      <w:r>
        <w:t xml:space="preserve">The best allowable sizes for</w:t>
      </w:r>
      <w:r>
        <w:t xml:space="preserve"> </w:t>
      </w:r>
      <m:oMath>
        <m:sSub>
          <m:e>
            <m:r>
              <m:t>X</m:t>
            </m:r>
          </m:e>
          <m:sub>
            <m:r>
              <m:t>S</m:t>
            </m:r>
          </m:sub>
        </m:sSub>
      </m:oMath>
      <w:r>
        <w:t xml:space="preserve"> </w:t>
      </w:r>
      <w:r>
        <w:t xml:space="preserve">can be found using the following spanned integer (</w:t>
      </w:r>
      <m:oMath>
        <m:r>
          <m:t>S</m:t>
        </m:r>
        <m:r>
          <m:t>I</m:t>
        </m:r>
      </m:oMath>
      <w:r>
        <w:t xml:space="preserve">) algorithm:</w:t>
      </w:r>
    </w:p>
    <w:p>
      <w:pPr>
        <w:pStyle w:val="Compact"/>
        <w:numPr>
          <w:ilvl w:val="0"/>
          <w:numId w:val="1001"/>
        </w:numPr>
      </w:pPr>
      <w:r>
        <w:t xml:space="preserve">Find the quantity ratios associated with the minimum (</w:t>
      </w:r>
      <m:oMath>
        <m:r>
          <m:rPr>
            <m:sty m:val="p"/>
          </m:rPr>
          <m:t>−</m:t>
        </m:r>
      </m:oMath>
      <w:r>
        <w:t xml:space="preserve">) and maximum (</w:t>
      </w:r>
      <m:oMath>
        <m:r>
          <m:rPr>
            <m:sty m:val="p"/>
          </m:rPr>
          <m:t>+</m:t>
        </m:r>
      </m:oMath>
      <w:r>
        <w:t xml:space="preserve">) allowable sizes in</w:t>
      </w:r>
      <w:r>
        <w:t xml:space="preserve"> </w:t>
      </w:r>
      <m:oMath>
        <m:sSub>
          <m:e>
            <m:r>
              <m:t>x</m:t>
            </m:r>
          </m:e>
          <m:sub>
            <m:r>
              <m:t>1</m:t>
            </m:r>
          </m:sub>
        </m:sSub>
      </m:oMath>
      <w:r>
        <w:t xml:space="preserve"> </w:t>
      </w:r>
      <w:r>
        <w:t xml:space="preserve">through</w:t>
      </w:r>
      <w:r>
        <w:t xml:space="preserve"> </w:t>
      </w:r>
      <m:oMath>
        <m:sSub>
          <m:e>
            <m:r>
              <m:t>x</m:t>
            </m:r>
          </m:e>
          <m:sub>
            <m:r>
              <m:t>n</m:t>
            </m:r>
            <m:r>
              <m:t>S</m:t>
            </m:r>
            <m:r>
              <m:rPr>
                <m:sty m:val="p"/>
              </m:rPr>
              <m:t>−</m:t>
            </m:r>
            <m:r>
              <m:t>1</m:t>
            </m:r>
          </m:sub>
        </m:sSub>
      </m:oMath>
      <w:r>
        <w:t xml:space="preserve"> </w:t>
      </w:r>
      <w:r>
        <w:t xml:space="preserve">(i.e. </w:t>
      </w:r>
      <m:oMath>
        <m:sSub>
          <m:e>
            <m:r>
              <m:t>K</m:t>
            </m:r>
          </m:e>
          <m:sub>
            <m:r>
              <m:rPr>
                <m:sty m:val="p"/>
              </m:rPr>
              <m:t>−</m:t>
            </m:r>
          </m:sub>
        </m:sSub>
      </m:oMath>
      <w:r>
        <w:t xml:space="preserve"> </w:t>
      </w:r>
      <w:r>
        <w:t xml:space="preserve">and</w:t>
      </w:r>
      <w:r>
        <w:t xml:space="preserve"> </w:t>
      </w:r>
      <m:oMath>
        <m:sSub>
          <m:e>
            <m:r>
              <m:t>K</m:t>
            </m:r>
          </m:e>
          <m:sub>
            <m:r>
              <m:rPr>
                <m:sty m:val="p"/>
              </m:rPr>
              <m:t>+</m:t>
            </m:r>
          </m:sub>
        </m:sSub>
      </m:oMath>
      <w:r>
        <w:t xml:space="preserve">).</w:t>
      </w:r>
    </w:p>
    <w:p>
      <w:pPr>
        <w:pStyle w:val="Compact"/>
        <w:numPr>
          <w:ilvl w:val="0"/>
          <w:numId w:val="1001"/>
        </w:numPr>
      </w:pPr>
      <w:r>
        <w:t xml:space="preserve">Check whether an integer is spanned between each entry in</w:t>
      </w:r>
      <w:r>
        <w:t xml:space="preserve"> </w:t>
      </w:r>
      <m:oMath>
        <m:sSub>
          <m:e>
            <m:r>
              <m:t>K</m:t>
            </m:r>
          </m:e>
          <m:sub>
            <m:r>
              <m:rPr>
                <m:sty m:val="p"/>
              </m:rPr>
              <m:t>−</m:t>
            </m:r>
          </m:sub>
        </m:sSub>
      </m:oMath>
      <w:r>
        <w:t xml:space="preserve"> </w:t>
      </w:r>
      <w:r>
        <w:t xml:space="preserve">and</w:t>
      </w:r>
      <w:r>
        <w:t xml:space="preserve"> </w:t>
      </w:r>
      <m:oMath>
        <m:sSub>
          <m:e>
            <m:r>
              <m:t>K</m:t>
            </m:r>
          </m:e>
          <m:sub>
            <m:r>
              <m:rPr>
                <m:sty m:val="p"/>
              </m:rPr>
              <m:t>+</m:t>
            </m:r>
          </m:sub>
        </m:sSub>
      </m:oMath>
      <w:r>
        <w:t xml:space="preserve">.</w:t>
      </w:r>
    </w:p>
    <w:p>
      <w:pPr>
        <w:pStyle w:val="Compact"/>
        <w:numPr>
          <w:ilvl w:val="0"/>
          <w:numId w:val="1001"/>
        </w:numPr>
      </w:pPr>
      <w:r>
        <w:t xml:space="preserve">If a spanned integer (</w:t>
      </w:r>
      <m:oMath>
        <m:r>
          <m:t>S</m:t>
        </m:r>
        <m:r>
          <m:t>I</m:t>
        </m:r>
      </m:oMath>
      <w:r>
        <w:t xml:space="preserve">) does not exist for each entry, repeat Steps 1 and 2 with incrementally larger sizes for</w:t>
      </w:r>
      <w:r>
        <w:t xml:space="preserve"> </w:t>
      </w:r>
      <m:oMath>
        <m:sSub>
          <m:e>
            <m:r>
              <m:t>x</m:t>
            </m:r>
          </m:e>
          <m:sub>
            <m:r>
              <m:t>n</m:t>
            </m:r>
            <m:r>
              <m:t>S</m:t>
            </m:r>
          </m:sub>
        </m:sSub>
      </m:oMath>
      <w:r>
        <w:t xml:space="preserve">.</w:t>
      </w:r>
    </w:p>
    <w:p>
      <w:pPr>
        <w:pStyle w:val="Compact"/>
        <w:numPr>
          <w:ilvl w:val="0"/>
          <w:numId w:val="1001"/>
        </w:numPr>
      </w:pPr>
      <w:r>
        <w:t xml:space="preserve">If, after reaching the maximum allowable particle size for</w:t>
      </w:r>
      <w:r>
        <w:t xml:space="preserve"> </w:t>
      </w:r>
      <m:oMath>
        <m:sSub>
          <m:e>
            <m:r>
              <m:t>x</m:t>
            </m:r>
          </m:e>
          <m:sub>
            <m:r>
              <m:t>n</m:t>
            </m:r>
            <m:r>
              <m:t>S</m:t>
            </m:r>
          </m:sub>
        </m:sSub>
      </m:oMath>
      <w:r>
        <w:t xml:space="preserve">, an</w:t>
      </w:r>
      <w:r>
        <w:t xml:space="preserve"> </w:t>
      </w:r>
      <m:oMath>
        <m:r>
          <m:t>S</m:t>
        </m:r>
        <m:r>
          <m:t>I</m:t>
        </m:r>
      </m:oMath>
      <w:r>
        <w:t xml:space="preserve"> </w:t>
      </w:r>
      <w:r>
        <w:t xml:space="preserve">does not exist between each entry in</w:t>
      </w:r>
      <w:r>
        <w:t xml:space="preserve"> </w:t>
      </w:r>
      <m:oMath>
        <m:sSub>
          <m:e>
            <m:r>
              <m:t>K</m:t>
            </m:r>
          </m:e>
          <m:sub>
            <m:r>
              <m:rPr>
                <m:sty m:val="p"/>
              </m:rPr>
              <m:t>−</m:t>
            </m:r>
          </m:sub>
        </m:sSub>
      </m:oMath>
      <w:r>
        <w:t xml:space="preserve"> </w:t>
      </w:r>
      <w:r>
        <w:t xml:space="preserve">and</w:t>
      </w:r>
      <w:r>
        <w:t xml:space="preserve"> </w:t>
      </w:r>
      <m:oMath>
        <m:sSub>
          <m:e>
            <m:r>
              <m:t>K</m:t>
            </m:r>
          </m:e>
          <m:sub>
            <m:r>
              <m:rPr>
                <m:sty m:val="p"/>
              </m:rPr>
              <m:t>+</m:t>
            </m:r>
          </m:sub>
        </m:sSub>
      </m:oMath>
      <w:r>
        <w:t xml:space="preserve">, iteratively multiply</w:t>
      </w:r>
      <w:r>
        <w:t xml:space="preserve"> </w:t>
      </w:r>
      <m:oMath>
        <m:sSub>
          <m:e>
            <m:r>
              <m:t>K</m:t>
            </m:r>
          </m:e>
          <m:sub>
            <m:r>
              <m:rPr>
                <m:sty m:val="p"/>
              </m:rPr>
              <m:t>−</m:t>
            </m:r>
          </m:sub>
        </m:sSub>
      </m:oMath>
      <w:r>
        <w:t xml:space="preserve"> </w:t>
      </w:r>
      <w:r>
        <w:t xml:space="preserve">and</w:t>
      </w:r>
      <w:r>
        <w:t xml:space="preserve"> </w:t>
      </w:r>
      <m:oMath>
        <m:sSub>
          <m:e>
            <m:r>
              <m:t>K</m:t>
            </m:r>
          </m:e>
          <m:sub>
            <m:r>
              <m:rPr>
                <m:sty m:val="p"/>
              </m:rPr>
              <m:t>+</m:t>
            </m:r>
          </m:sub>
        </m:sSub>
      </m:oMath>
      <w:r>
        <w:t xml:space="preserve"> </w:t>
      </w:r>
      <w:r>
        <w:t xml:space="preserve">by integers greater than 1 and repeat Steps 1 to 3 until the span between each entry contains an integer.</w:t>
      </w:r>
    </w:p>
    <w:p>
      <w:pPr>
        <w:pStyle w:val="Compact"/>
        <w:numPr>
          <w:ilvl w:val="0"/>
          <w:numId w:val="1001"/>
        </w:numPr>
      </w:pPr>
      <w:r>
        <w:t xml:space="preserve">When an integer quantity exists between each entry in</w:t>
      </w:r>
      <w:r>
        <w:t xml:space="preserve"> </w:t>
      </w:r>
      <m:oMath>
        <m:sSub>
          <m:e>
            <m:r>
              <m:t>K</m:t>
            </m:r>
          </m:e>
          <m:sub>
            <m:r>
              <m:rPr>
                <m:sty m:val="p"/>
              </m:rPr>
              <m:t>−</m:t>
            </m:r>
          </m:sub>
        </m:sSub>
      </m:oMath>
      <w:r>
        <w:t xml:space="preserve"> </w:t>
      </w:r>
      <w:r>
        <w:t xml:space="preserve">and</w:t>
      </w:r>
      <w:r>
        <w:t xml:space="preserve"> </w:t>
      </w:r>
      <m:oMath>
        <m:sSub>
          <m:e>
            <m:r>
              <m:t>K</m:t>
            </m:r>
          </m:e>
          <m:sub>
            <m:r>
              <m:rPr>
                <m:sty m:val="p"/>
              </m:rPr>
              <m:t>+</m:t>
            </m:r>
          </m:sub>
        </m:sSub>
      </m:oMath>
      <w:r>
        <w:t xml:space="preserve">, these integers can be used to populate the spanned integer quantity ratio,</w:t>
      </w:r>
      <w:r>
        <w:t xml:space="preserve"> </w:t>
      </w:r>
      <m:oMath>
        <m:sSub>
          <m:e>
            <m:r>
              <m:t>K</m:t>
            </m:r>
          </m:e>
          <m:sub>
            <m:r>
              <m:t>S</m:t>
            </m:r>
            <m:r>
              <m:t>I</m:t>
            </m:r>
          </m:sub>
        </m:sSub>
      </m:oMath>
      <w:r>
        <w:t xml:space="preserve">, which can now be interpreted as</w:t>
      </w:r>
      <w:r>
        <w:t xml:space="preserve"> </w:t>
      </w:r>
      <m:oMath>
        <m:sSub>
          <m:e>
            <m:r>
              <m:t>Q</m:t>
            </m:r>
          </m:e>
          <m:sub>
            <m:r>
              <m:t>S</m:t>
            </m:r>
            <m:r>
              <m:t>I</m:t>
            </m:r>
          </m:sub>
        </m:sSub>
      </m:oMath>
      <w:r>
        <w:t xml:space="preserve">.</w:t>
      </w:r>
    </w:p>
    <w:p>
      <w:pPr>
        <w:pStyle w:val="Compact"/>
        <w:numPr>
          <w:ilvl w:val="0"/>
          <w:numId w:val="1001"/>
        </w:numPr>
      </w:pPr>
      <w:r>
        <w:t xml:space="preserve">Invert the mass scaling function</w:t>
      </w:r>
      <w:r>
        <w:t xml:space="preserve"> </w:t>
      </w:r>
      <m:oMath>
        <m:r>
          <m:t>f</m:t>
        </m:r>
        <m:d>
          <m:dPr>
            <m:begChr m:val="("/>
            <m:endChr m:val=")"/>
            <m:sepChr m:val=""/>
            <m:grow/>
          </m:dPr>
          <m:e>
            <m:r>
              <m:t>x</m:t>
            </m:r>
          </m:e>
        </m:d>
      </m:oMath>
      <w:r>
        <w:t xml:space="preserve"> </w:t>
      </w:r>
      <w:r>
        <w:t xml:space="preserve">on the ratio</w:t>
      </w:r>
      <w:r>
        <w:t xml:space="preserve"> </w:t>
      </w:r>
      <m:oMath>
        <m:r>
          <m:t>Φ</m:t>
        </m:r>
      </m:oMath>
      <w:r>
        <w:t xml:space="preserve"> </w:t>
      </w:r>
      <w:r>
        <w:t xml:space="preserve">/</w:t>
      </w:r>
      <w:r>
        <w:t xml:space="preserve"> </w:t>
      </w:r>
      <m:oMath>
        <m:sSub>
          <m:e>
            <m:r>
              <m:t>K</m:t>
            </m:r>
          </m:e>
          <m:sub>
            <m:r>
              <m:t>S</m:t>
            </m:r>
            <m:r>
              <m:t>I</m:t>
            </m:r>
          </m:sub>
        </m:sSub>
      </m:oMath>
      <w:r>
        <w:t xml:space="preserve"> </w:t>
      </w:r>
      <w:r>
        <w:t xml:space="preserve">to identify the compatible sizes for the spanned integer quantities: in</w:t>
      </w:r>
      <w:r>
        <w:t xml:space="preserve"> </w:t>
      </w:r>
      <m:oMath>
        <m:sSub>
          <m:e>
            <m:r>
              <m:t>X</m:t>
            </m:r>
          </m:e>
          <m:sub>
            <m:r>
              <m:t>S</m:t>
            </m:r>
          </m:sub>
        </m:sSub>
      </m:oMath>
      <w:r>
        <w:t xml:space="preserve">.</w:t>
      </w:r>
    </w:p>
    <w:p>
      <w:pPr>
        <w:pStyle w:val="FirstParagraph"/>
      </w:pPr>
      <w:bookmarkStart w:id="46" w:name="eq-spanned_int_sizes"/>
      <m:oMathPara>
        <m:oMathParaPr>
          <m:jc m:val="center"/>
        </m:oMathParaPr>
        <m:oMath>
          <m:sSub>
            <m:e>
              <m:r>
                <m:t>X</m:t>
              </m:r>
            </m:e>
            <m:sub>
              <m:r>
                <m:t>S</m:t>
              </m:r>
              <m:r>
                <m:t>I</m:t>
              </m:r>
            </m:sub>
          </m:sSub>
          <m:r>
            <m:rPr>
              <m:sty m:val="p"/>
            </m:rPr>
            <m:t>=</m:t>
          </m:r>
          <m:sSup>
            <m:e>
              <m:r>
                <m:t>f</m:t>
              </m:r>
            </m:e>
            <m:sup>
              <m:r>
                <m:rPr>
                  <m:sty m:val="p"/>
                </m:rPr>
                <m:t>−</m:t>
              </m:r>
              <m:r>
                <m:t>1</m:t>
              </m:r>
            </m:sup>
          </m:sSup>
          <m:d>
            <m:dPr>
              <m:begChr m:val="("/>
              <m:endChr m:val=")"/>
              <m:sepChr m:val=""/>
              <m:grow/>
            </m:dPr>
            <m:e>
              <m:f>
                <m:fPr>
                  <m:type m:val="bar"/>
                </m:fPr>
                <m:num>
                  <m:r>
                    <m:t>Φ</m:t>
                  </m:r>
                </m:num>
                <m:den>
                  <m:sSub>
                    <m:e>
                      <m:r>
                        <m:t>Q</m:t>
                      </m:r>
                    </m:e>
                    <m:sub>
                      <m:r>
                        <m:t>S</m:t>
                      </m:r>
                      <m:r>
                        <m:t>I</m:t>
                      </m:r>
                    </m:sub>
                  </m:sSub>
                </m:den>
              </m:f>
            </m:e>
          </m:d>
          <m:r>
            <m:t>  </m:t>
          </m:r>
          <m:d>
            <m:dPr>
              <m:begChr m:val="("/>
              <m:endChr m:val=")"/>
              <m:sepChr m:val=""/>
              <m:grow/>
            </m:dPr>
            <m:e>
              <m:r>
                <m:t>13</m:t>
              </m:r>
            </m:e>
          </m:d>
        </m:oMath>
      </m:oMathPara>
      <w:bookmarkEnd w:id="46"/>
    </w:p>
    <w:p>
      <w:pPr>
        <w:pStyle w:val="FirstParagraph"/>
      </w:pPr>
      <w:r>
        <w:t xml:space="preserve">Because</w:t>
      </w:r>
      <w:r>
        <w:t xml:space="preserve"> </w:t>
      </w:r>
      <m:oMath>
        <m:sSub>
          <m:e>
            <m:r>
              <m:t>Q</m:t>
            </m:r>
          </m:e>
          <m:sub>
            <m:r>
              <m:t>S</m:t>
            </m:r>
            <m:r>
              <m:t>I</m:t>
            </m:r>
          </m:sub>
        </m:sSub>
      </m:oMath>
      <w:r>
        <w:t xml:space="preserve"> </w:t>
      </w:r>
      <w:r>
        <w:t xml:space="preserve">was generated using the allowable sizes of</w:t>
      </w:r>
      <w:r>
        <w:t xml:space="preserve"> </w:t>
      </w:r>
      <m:oMath>
        <m:r>
          <m:t>X</m:t>
        </m:r>
      </m:oMath>
      <w:r>
        <w:t xml:space="preserve"> </w:t>
      </w:r>
      <w:r>
        <w:t xml:space="preserve">and the mass ratios of the target</w:t>
      </w:r>
      <w:r>
        <w:t xml:space="preserve"> </w:t>
      </w:r>
      <m:oMath>
        <m:r>
          <m:t>G</m:t>
        </m:r>
      </m:oMath>
      <w:r>
        <w:t xml:space="preserve">, the resulting</w:t>
      </w:r>
      <w:r>
        <w:t xml:space="preserve"> </w:t>
      </w:r>
      <m:oMath>
        <m:sSub>
          <m:e>
            <m:r>
              <m:t>X</m:t>
            </m:r>
          </m:e>
          <m:sub>
            <m:r>
              <m:t>S</m:t>
            </m:r>
            <m:r>
              <m:t>I</m:t>
            </m:r>
          </m:sub>
        </m:sSub>
      </m:oMath>
      <w:r>
        <w:t xml:space="preserve"> </w:t>
      </w:r>
      <w:r>
        <w:t xml:space="preserve">satisfies</w:t>
      </w:r>
      <w:r>
        <w:t xml:space="preserve"> </w:t>
      </w:r>
      <m:oMath>
        <m:r>
          <m:rPr>
            <m:nor/>
            <m:sty m:val="p"/>
          </m:rPr>
          <m:t>Cond4</m:t>
        </m:r>
      </m:oMath>
      <w:r>
        <w:t xml:space="preserve"> </w:t>
      </w:r>
      <w:r>
        <w:t xml:space="preserve">with</w:t>
      </w:r>
      <w:r>
        <w:t xml:space="preserve"> </w:t>
      </w:r>
      <m:oMath>
        <m:sSub>
          <m:e>
            <m:r>
              <m:t>Q</m:t>
            </m:r>
          </m:e>
          <m:sub>
            <m:r>
              <m:t>S</m:t>
            </m:r>
            <m:r>
              <m:t>I</m:t>
            </m:r>
          </m:sub>
        </m:sSub>
      </m:oMath>
      <w:r>
        <w:t xml:space="preserve"> </w:t>
      </w:r>
      <w:r>
        <w:t xml:space="preserve">as the smallest possible quantity of particles, or the minimal discrete match:</w:t>
      </w:r>
    </w:p>
    <w:p>
      <w:pPr>
        <w:pStyle w:val="BodyText"/>
      </w:pPr>
      <m:oMathPara>
        <m:oMathParaPr>
          <m:jc m:val="center"/>
        </m:oMathParaPr>
        <m:oMath>
          <m:r>
            <m:t>M</m:t>
          </m:r>
          <m:r>
            <m:t>D</m:t>
          </m:r>
          <m:r>
            <m:t>M</m:t>
          </m:r>
          <m:r>
            <m:rPr>
              <m:sty m:val="p"/>
            </m:rPr>
            <m:t>=</m:t>
          </m:r>
          <m:sSub>
            <m:e>
              <m:r>
                <m:t>S</m:t>
              </m:r>
            </m:e>
            <m:sub>
              <m:r>
                <m:t>m</m:t>
              </m:r>
              <m:r>
                <m:t>i</m:t>
              </m:r>
              <m:r>
                <m:t>n</m:t>
              </m:r>
            </m:sub>
          </m:sSub>
          <m:r>
            <m:rPr>
              <m:sty m:val="p"/>
            </m:rPr>
            <m:t>=</m:t>
          </m:r>
          <m:r>
            <m:rPr>
              <m:sty m:val="p"/>
            </m:rPr>
            <m:t>{</m:t>
          </m:r>
          <m:sSub>
            <m:e>
              <m:r>
                <m:t>X</m:t>
              </m:r>
            </m:e>
            <m:sub>
              <m:r>
                <m:t>S</m:t>
              </m:r>
              <m:r>
                <m:t>I</m:t>
              </m:r>
            </m:sub>
          </m:sSub>
          <m:r>
            <m:rPr>
              <m:sty m:val="p"/>
            </m:rPr>
            <m:t>,</m:t>
          </m:r>
          <m:sSub>
            <m:e>
              <m:r>
                <m:t>Q</m:t>
              </m:r>
            </m:e>
            <m:sub>
              <m:r>
                <m:t>S</m:t>
              </m:r>
              <m:r>
                <m:t>I</m:t>
              </m:r>
            </m:sub>
          </m:sSub>
          <m:r>
            <m:rPr>
              <m:sty m:val="p"/>
            </m:rPr>
            <m:t>}</m:t>
          </m:r>
        </m:oMath>
      </m:oMathPara>
    </w:p>
    <w:p>
      <w:pPr>
        <w:pStyle w:val="FirstParagraph"/>
      </w:pPr>
      <w:r>
        <w:t xml:space="preserve">The total number of particles in the MDM is the sum of the quantities in</w:t>
      </w:r>
      <w:r>
        <w:t xml:space="preserve"> </w:t>
      </w:r>
      <m:oMath>
        <m:sSub>
          <m:e>
            <m:r>
              <m:t>Q</m:t>
            </m:r>
          </m:e>
          <m:sub>
            <m:r>
              <m:t>S</m:t>
            </m:r>
            <m:r>
              <m:t>I</m:t>
            </m:r>
          </m:sub>
        </m:sSub>
      </m:oMath>
      <w:r>
        <w:t xml:space="preserve">:</w:t>
      </w:r>
    </w:p>
    <w:p>
      <w:pPr>
        <w:pStyle w:val="BodyText"/>
      </w:pPr>
      <w:bookmarkStart w:id="47" w:name="eq-n_mdm"/>
      <m:oMathPara>
        <m:oMathParaPr>
          <m:jc m:val="center"/>
        </m:oMathParaPr>
        <m:oMath>
          <m:sSub>
            <m:e>
              <m:r>
                <m:t>N</m:t>
              </m:r>
            </m:e>
            <m:sub>
              <m:r>
                <m:t>M</m:t>
              </m:r>
              <m:r>
                <m:t>D</m:t>
              </m:r>
              <m:r>
                <m:t>M</m:t>
              </m:r>
            </m:sub>
          </m:sSub>
          <m:r>
            <m:rPr>
              <m:sty m:val="p"/>
            </m:rPr>
            <m:t>=</m:t>
          </m:r>
          <m:nary>
            <m:naryPr>
              <m:chr m:val="∑"/>
              <m:limLoc m:val="undOvr"/>
              <m:subHide m:val="off"/>
              <m:supHide m:val="on"/>
            </m:naryPr>
            <m:sub>
              <m:r>
                <m:t>i</m:t>
              </m:r>
              <m:r>
                <m:rPr>
                  <m:sty m:val="p"/>
                </m:rPr>
                <m:t>∈</m:t>
              </m:r>
              <m:sSub>
                <m:e>
                  <m:r>
                    <m:t>I</m:t>
                  </m:r>
                </m:e>
                <m:sub>
                  <m:r>
                    <m:t>S</m:t>
                  </m:r>
                </m:sub>
              </m:sSub>
            </m:sub>
            <m:sup>
              <m:r>
                <m:t>​</m:t>
              </m:r>
            </m:sup>
            <m:e>
              <m:sSub>
                <m:e>
                  <m:r>
                    <m:t>q</m:t>
                  </m:r>
                </m:e>
                <m:sub>
                  <m:r>
                    <m:t>S</m:t>
                  </m:r>
                  <m:r>
                    <m:t>I</m:t>
                  </m:r>
                  <m:r>
                    <m:rPr>
                      <m:sty m:val="p"/>
                    </m:rPr>
                    <m:t>,</m:t>
                  </m:r>
                  <m:r>
                    <m:t>i</m:t>
                  </m:r>
                </m:sub>
              </m:sSub>
            </m:e>
          </m:nary>
          <m:r>
            <m:t>  </m:t>
          </m:r>
          <m:d>
            <m:dPr>
              <m:begChr m:val="("/>
              <m:endChr m:val=")"/>
              <m:sepChr m:val=""/>
              <m:grow/>
            </m:dPr>
            <m:e>
              <m:r>
                <m:t>14</m:t>
              </m:r>
            </m:e>
          </m:d>
        </m:oMath>
      </m:oMathPara>
      <w:bookmarkEnd w:id="47"/>
    </w:p>
    <w:p>
      <w:pPr>
        <w:pStyle w:val="FirstParagraph"/>
      </w:pPr>
      <w:r>
        <w:t xml:space="preserve">The effectiveness of the spanned integer algorithm is shown in the rapid convergence to numerical zero error compared to a fixed-size approximation in</w:t>
      </w:r>
      <w:r>
        <w:t xml:space="preserve"> </w:t>
      </w:r>
      <w:hyperlink w:anchor="fig-convergence">
        <w:r>
          <w:rPr>
            <w:rStyle w:val="Hyperlink"/>
          </w:rPr>
          <w:t xml:space="preserve">Figure 2</w:t>
        </w:r>
      </w:hyperlink>
      <w:r>
        <w:t xml:space="preserve">.</w:t>
      </w:r>
      <w:r>
        <w:t xml:space="preserve"> </w:t>
      </w:r>
      <w:r>
        <w:t xml:space="preserve">The figure shows both approaches attempting to find a suitable sample for each of the GSDs shown in</w:t>
      </w:r>
      <w:r>
        <w:t xml:space="preserve"> </w:t>
      </w:r>
      <w:hyperlink w:anchor="fig-gsd_curvature_index">
        <w:r>
          <w:rPr>
            <w:rStyle w:val="Hyperlink"/>
          </w:rPr>
          <w:t xml:space="preserve">Figure 1</w:t>
        </w:r>
      </w:hyperlink>
      <w:r>
        <w:t xml:space="preserve"> </w:t>
      </w:r>
      <w:r>
        <w:t xml:space="preserve">with an allowable error tolerance of 1 percent.</w:t>
      </w:r>
      <w:r>
        <w:t xml:space="preserve"> </w:t>
      </w:r>
      <w:r>
        <w:t xml:space="preserve">In nearly all cases, the spanned integer approach requires no iteration (i.e., Step 4 is skipped).</w:t>
      </w:r>
      <w:r>
        <w:t xml:space="preserve"> </w:t>
      </w:r>
      <w:r>
        <w:t xml:space="preserve">Where iteration is needed, it converges to numerical zero within one or two iterations.</w:t>
      </w:r>
      <w:r>
        <w:t xml:space="preserve"> </w:t>
      </w:r>
      <w:r>
        <w:t xml:space="preserve">The fixed size approach converges with between 1 and 15 iterations and retains measurable error.</w:t>
      </w:r>
      <w:r>
        <w:t xml:space="preserve"> </w:t>
      </w:r>
      <w:r>
        <w:t xml:space="preserve">This difference is significant, not because the spanned integer algorithm itself is computationally expensive, but because each iteration represents an increase in total particles in the final discrete sample.</w:t>
      </w:r>
    </w:p>
    <w:tbl>
      <w:tblPr>
        <w:tblStyle w:val="Table"/>
        <w:tblW w:type="pct" w:w="5000"/>
        <w:tblLayout w:type="fixed"/>
        <w:tblLook w:firstRow="0" w:lastRow="0" w:firstColumn="0" w:lastColumn="0" w:noHBand="0" w:noVBand="0" w:val="0000"/>
      </w:tblPr>
      <w:tblGrid>
        <w:gridCol w:w="7920"/>
      </w:tblGrid>
      <w:tr>
        <w:tc>
          <w:tcPr/>
          <w:bookmarkStart w:id="51" w:name="fig-convergence"/>
          <w:p>
            <w:pPr>
              <w:pStyle w:val="Compact"/>
              <w:jc w:val="center"/>
            </w:pPr>
            <w:r>
              <w:drawing>
                <wp:inline>
                  <wp:extent cx="4285533" cy="3348216"/>
                  <wp:effectExtent b="0" l="0" r="0" t="0"/>
                  <wp:docPr descr="" title="" id="49" name="Picture"/>
                  <a:graphic>
                    <a:graphicData uri="http://schemas.openxmlformats.org/drawingml/2006/picture">
                      <pic:pic>
                        <pic:nvPicPr>
                          <pic:cNvPr descr="minimal_packing_files/figure-docx/fig-convergence-output-1.png" id="50" name="Picture"/>
                          <pic:cNvPicPr>
                            <a:picLocks noChangeArrowheads="1" noChangeAspect="1"/>
                          </pic:cNvPicPr>
                        </pic:nvPicPr>
                        <pic:blipFill>
                          <a:blip r:embed="rId48"/>
                          <a:stretch>
                            <a:fillRect/>
                          </a:stretch>
                        </pic:blipFill>
                        <pic:spPr bwMode="auto">
                          <a:xfrm>
                            <a:off x="0" y="0"/>
                            <a:ext cx="4285533" cy="33482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Packing Algorithm Convergence</w:t>
            </w:r>
          </w:p>
          <w:bookmarkEnd w:id="51"/>
        </w:tc>
      </w:tr>
    </w:tbl>
    <w:p>
      <w:pPr>
        <w:pStyle w:val="BodyText"/>
      </w:pPr>
      <w:r>
        <w:t xml:space="preserve">If the fixed size approach, with its many iterations produce larger solutions for a</w:t>
      </w:r>
      <w:r>
        <w:t xml:space="preserve"> </w:t>
      </w:r>
      <w:r>
        <w:t xml:space="preserve">“minimal”</w:t>
      </w:r>
      <w:r>
        <w:t xml:space="preserve"> </w:t>
      </w:r>
      <w:r>
        <w:t xml:space="preserve">set than a different algorithm, can its solutions even be considered valid?</w:t>
      </w:r>
      <w:r>
        <w:t xml:space="preserve"> </w:t>
      </w:r>
      <w:r>
        <w:t xml:space="preserve">They are, in fact, valid solutions, but to an over-constrained version of the problem at hand.</w:t>
      </w:r>
      <w:r>
        <w:t xml:space="preserve"> </w:t>
      </w:r>
      <w:r>
        <w:t xml:space="preserve">This differently constrained solution serves at least two potential purposes.</w:t>
      </w:r>
      <w:r>
        <w:t xml:space="preserve"> </w:t>
      </w:r>
      <w:r>
        <w:t xml:space="preserve">First, there are scenarios in which very specific, pre-determined sizes are required.</w:t>
      </w:r>
      <w:r>
        <w:t xml:space="preserve"> </w:t>
      </w:r>
      <w:r>
        <w:t xml:space="preserve">For example, in space-filling solutions, such as presented by</w:t>
      </w:r>
      <w:r>
        <w:t xml:space="preserve"> </w:t>
      </w:r>
      <w:r>
        <w:t xml:space="preserve">Botet, Kwok, and Cabane (2021)</w:t>
      </w:r>
      <w:r>
        <w:t xml:space="preserve">, particle size is rigidly constrained and the spanned integer algorithm would not be appropriate.</w:t>
      </w:r>
      <w:r>
        <w:t xml:space="preserve"> </w:t>
      </w:r>
      <w:r>
        <w:t xml:space="preserve">Second, comparing the</w:t>
      </w:r>
      <w:r>
        <w:t xml:space="preserve"> </w:t>
      </w:r>
      <w:r>
        <w:t xml:space="preserve">“minimal”</w:t>
      </w:r>
      <w:r>
        <w:t xml:space="preserve"> </w:t>
      </w:r>
      <w:r>
        <w:t xml:space="preserve">solution sizes from the fixed size and spanned integer algorithms provides a measure of how brittle the minimal discrete match problem is.</w:t>
      </w:r>
    </w:p>
    <w:bookmarkEnd w:id="52"/>
    <w:bookmarkStart w:id="65" w:name="results"/>
    <w:p>
      <w:pPr>
        <w:pStyle w:val="Heading2"/>
      </w:pPr>
      <w:r>
        <w:t xml:space="preserve">Results</w:t>
      </w:r>
    </w:p>
    <w:p>
      <w:pPr>
        <w:pStyle w:val="FirstParagraph"/>
      </w:pPr>
      <w:r>
        <w:t xml:space="preserve">The minimal discrete matches for the grain size distributions described in</w:t>
      </w:r>
      <w:r>
        <w:t xml:space="preserve"> </w:t>
      </w:r>
      <w:hyperlink w:anchor="tbl-gsd_params">
        <w:r>
          <w:rPr>
            <w:rStyle w:val="Hyperlink"/>
          </w:rPr>
          <w:t xml:space="preserve">Table 1</w:t>
        </w:r>
      </w:hyperlink>
      <w:r>
        <w:t xml:space="preserve"> </w:t>
      </w:r>
      <w:r>
        <w:t xml:space="preserve">range in magnitude from</w:t>
      </w:r>
      <w:r>
        <w:t xml:space="preserve"> </w:t>
      </w:r>
      <m:oMath>
        <m:r>
          <m:rPr>
            <m:sty m:val="p"/>
            <m:scr m:val="script"/>
          </m:rPr>
          <m:t>O</m:t>
        </m:r>
        <m:d>
          <m:dPr>
            <m:begChr m:val="("/>
            <m:endChr m:val=")"/>
            <m:sepChr m:val=""/>
            <m:grow/>
          </m:dPr>
          <m:e>
            <m:sSup>
              <m:e>
                <m:r>
                  <m:t>10</m:t>
                </m:r>
              </m:e>
              <m:sup>
                <m:r>
                  <m:t>1</m:t>
                </m:r>
              </m:sup>
            </m:sSup>
          </m:e>
        </m:d>
      </m:oMath>
      <w:r>
        <w:t xml:space="preserve"> </w:t>
      </w:r>
      <w:r>
        <w:t xml:space="preserve">to</w:t>
      </w:r>
      <w:r>
        <w:t xml:space="preserve"> </w:t>
      </w:r>
      <m:oMath>
        <m:r>
          <m:rPr>
            <m:sty m:val="p"/>
            <m:scr m:val="script"/>
          </m:rPr>
          <m:t>O</m:t>
        </m:r>
        <m:d>
          <m:dPr>
            <m:begChr m:val="("/>
            <m:endChr m:val=")"/>
            <m:sepChr m:val=""/>
            <m:grow/>
          </m:dPr>
          <m:e>
            <m:sSup>
              <m:e>
                <m:r>
                  <m:t>10</m:t>
                </m:r>
              </m:e>
              <m:sup>
                <m:r>
                  <m:t>10</m:t>
                </m:r>
              </m:sup>
            </m:sSup>
          </m:e>
        </m:d>
      </m:oMath>
      <w:r>
        <w:t xml:space="preserve"> </w:t>
      </w:r>
      <w:r>
        <w:t xml:space="preserve">particles.</w:t>
      </w:r>
      <w:r>
        <w:t xml:space="preserve"> </w:t>
      </w:r>
      <w:r>
        <w:t xml:space="preserve">As intuition suggests, increasing the percent mass of the smallest particle sizes or the ratio of the largest to the smallest particle sizes both tend to increase</w:t>
      </w:r>
      <w:r>
        <w:t xml:space="preserve"> </w:t>
      </w:r>
      <m:oMath>
        <m:sSub>
          <m:e>
            <m:r>
              <m:t>N</m:t>
            </m:r>
          </m:e>
          <m:sub>
            <m:r>
              <m:t>M</m:t>
            </m:r>
            <m:r>
              <m:t>D</m:t>
            </m:r>
            <m:r>
              <m:t>M</m:t>
            </m:r>
          </m:sub>
        </m:sSub>
      </m:oMath>
      <w:r>
        <w:t xml:space="preserve">.</w:t>
      </w:r>
      <w:r>
        <w:t xml:space="preserve"> </w:t>
      </w:r>
      <w:hyperlink w:anchor="fig-phi_n">
        <w:r>
          <w:rPr>
            <w:rStyle w:val="Hyperlink"/>
          </w:rPr>
          <w:t xml:space="preserve">Figure 3</w:t>
        </w:r>
      </w:hyperlink>
      <w:r>
        <w:t xml:space="preserve"> </w:t>
      </w:r>
      <w:r>
        <w:t xml:space="preserve">illustrates a scattered linear relationship between</w:t>
      </w:r>
      <w:r>
        <w:t xml:space="preserve"> </w:t>
      </w:r>
      <m:oMath>
        <m:sSub>
          <m:e>
            <m:r>
              <m:t>ϕ</m:t>
            </m:r>
          </m:e>
          <m:sub>
            <m:r>
              <m:t>1</m:t>
            </m:r>
          </m:sub>
        </m:sSub>
      </m:oMath>
      <w:r>
        <w:t xml:space="preserve"> </w:t>
      </w:r>
      <w:r>
        <w:t xml:space="preserve">(subscript 1 indicates the smallest particle size) and</w:t>
      </w:r>
      <w:r>
        <w:t xml:space="preserve"> </w:t>
      </w:r>
      <m:oMath>
        <m:sSub>
          <m:e>
            <m:r>
              <m:t>N</m:t>
            </m:r>
          </m:e>
          <m:sub>
            <m:r>
              <m:t>M</m:t>
            </m:r>
            <m:r>
              <m:t>D</m:t>
            </m:r>
            <m:r>
              <m:t>M</m:t>
            </m:r>
          </m:sub>
        </m:sSub>
      </m:oMath>
      <w:r>
        <w:t xml:space="preserve"> </w:t>
      </w:r>
      <w:r>
        <w:t xml:space="preserve">in log-log space for constant volume ratio,</w:t>
      </w:r>
      <w:r>
        <w:t xml:space="preserve"> </w:t>
      </w:r>
      <m:oMath>
        <m:sSub>
          <m:e>
            <m:r>
              <m:t>ζ</m:t>
            </m:r>
          </m:e>
          <m:sub>
            <m:r>
              <m:t>1</m:t>
            </m:r>
          </m:sub>
        </m:sSub>
      </m:oMath>
      <w:r>
        <w:t xml:space="preserve">.</w:t>
      </w:r>
      <w:r>
        <w:t xml:space="preserve"> </w:t>
      </w:r>
      <w:r>
        <w:t xml:space="preserve">For</w:t>
      </w:r>
      <w:r>
        <w:t xml:space="preserve"> </w:t>
      </w:r>
      <m:oMath>
        <m:sSub>
          <m:e>
            <m:r>
              <m:t>ϕ</m:t>
            </m:r>
          </m:e>
          <m:sub>
            <m:r>
              <m:t>1</m:t>
            </m:r>
          </m:sub>
        </m:sSub>
        <m:r>
          <m:rPr>
            <m:sty m:val="p"/>
          </m:rPr>
          <m:t>≊</m:t>
        </m:r>
        <m:r>
          <m:t>0.4</m:t>
        </m:r>
      </m:oMath>
      <w:r>
        <w:t xml:space="preserve">,</w:t>
      </w:r>
      <w:r>
        <w:t xml:space="preserve"> </w:t>
      </w:r>
      <m:oMath>
        <m:sSub>
          <m:e>
            <m:r>
              <m:rPr>
                <m:sty m:val="p"/>
              </m:rPr>
              <m:t>log</m:t>
            </m:r>
          </m:e>
          <m:sub>
            <m:r>
              <m:t>10</m:t>
            </m:r>
          </m:sub>
        </m:sSub>
        <m:sSub>
          <m:e>
            <m:r>
              <m:t>ζ</m:t>
            </m:r>
          </m:e>
          <m:sub>
            <m:r>
              <m:t>1</m:t>
            </m:r>
          </m:sub>
        </m:sSub>
      </m:oMath>
      <w:r>
        <w:t xml:space="preserve"> </w:t>
      </w:r>
      <w:r>
        <w:t xml:space="preserve">correlates roughly 1:1 with</w:t>
      </w:r>
      <w:r>
        <w:t xml:space="preserve"> </w:t>
      </w:r>
      <m:oMath>
        <m:sSub>
          <m:e>
            <m:r>
              <m:t>N</m:t>
            </m:r>
          </m:e>
          <m:sub>
            <m:r>
              <m:t>M</m:t>
            </m:r>
            <m:r>
              <m:t>D</m:t>
            </m:r>
            <m:r>
              <m:t>M</m:t>
            </m:r>
          </m:sub>
        </m:sSub>
      </m:oMath>
      <w:r>
        <w:t xml:space="preserve">.</w:t>
      </w:r>
    </w:p>
    <w:p>
      <w:pPr>
        <w:pStyle w:val="BodyText"/>
      </w:pPr>
      <w:r>
        <w:t xml:space="preserve">A similar pattern exists between</w:t>
      </w:r>
      <w:r>
        <w:t xml:space="preserve"> </w:t>
      </w:r>
      <m:oMath>
        <m:sSub>
          <m:e>
            <m:r>
              <m:t>N</m:t>
            </m:r>
          </m:e>
          <m:sub>
            <m:r>
              <m:t>M</m:t>
            </m:r>
            <m:r>
              <m:t>D</m:t>
            </m:r>
            <m:r>
              <m:t>M</m:t>
            </m:r>
          </m:sub>
        </m:sSub>
      </m:oMath>
      <w:r>
        <w:t xml:space="preserve"> </w:t>
      </w:r>
      <w:r>
        <w:t xml:space="preserve">,</w:t>
      </w:r>
      <w:r>
        <w:t xml:space="preserve"> </w:t>
      </w:r>
      <m:oMath>
        <m:sSub>
          <m:e>
            <m:r>
              <m:t>ζ</m:t>
            </m:r>
          </m:e>
          <m:sub>
            <m:r>
              <m:t>1</m:t>
            </m:r>
          </m:sub>
        </m:sSub>
      </m:oMath>
      <w:r>
        <w:t xml:space="preserve">, and</w:t>
      </w:r>
      <w:r>
        <w:t xml:space="preserve"> </w:t>
      </w:r>
      <m:oMath>
        <m:sSub>
          <m:e>
            <m:r>
              <m:t>I</m:t>
            </m:r>
          </m:e>
          <m:sub>
            <m:r>
              <m:t>C</m:t>
            </m:r>
          </m:sub>
        </m:sSub>
      </m:oMath>
      <w:r>
        <w:t xml:space="preserve"> </w:t>
      </w:r>
      <w:r>
        <w:t xml:space="preserve">as shown in</w:t>
      </w:r>
      <w:r>
        <w:t xml:space="preserve"> </w:t>
      </w:r>
      <w:hyperlink w:anchor="fig-curvature_n">
        <w:r>
          <w:rPr>
            <w:rStyle w:val="Hyperlink"/>
          </w:rPr>
          <w:t xml:space="preserve">Figure 4</w:t>
        </w:r>
      </w:hyperlink>
      <w:r>
        <w:t xml:space="preserve">. At a given volume ratio, an increase in curvature index tends to result in an increased</w:t>
      </w:r>
      <w:r>
        <w:t xml:space="preserve"> </w:t>
      </w:r>
      <m:oMath>
        <m:sSub>
          <m:e>
            <m:r>
              <m:t>N</m:t>
            </m:r>
          </m:e>
          <m:sub>
            <m:r>
              <m:t>M</m:t>
            </m:r>
            <m:r>
              <m:t>D</m:t>
            </m:r>
            <m:r>
              <m:t>M</m:t>
            </m:r>
          </m:sub>
        </m:sSub>
      </m:oMath>
      <w:r>
        <w:t xml:space="preserve">.</w:t>
      </w:r>
      <w:r>
        <w:t xml:space="preserve"> </w:t>
      </w:r>
      <w:r>
        <w:t xml:space="preserve">For</w:t>
      </w:r>
      <w:r>
        <w:t xml:space="preserve"> </w:t>
      </w:r>
      <m:oMath>
        <m:sSub>
          <m:e>
            <m:r>
              <m:t>I</m:t>
            </m:r>
          </m:e>
          <m:sub>
            <m:r>
              <m:t>C</m:t>
            </m:r>
          </m:sub>
        </m:sSub>
        <m:r>
          <m:rPr>
            <m:sty m:val="p"/>
          </m:rPr>
          <m:t>≊</m:t>
        </m:r>
        <m:r>
          <m:t>0.7</m:t>
        </m:r>
      </m:oMath>
      <w:r>
        <w:t xml:space="preserve">,</w:t>
      </w:r>
      <w:r>
        <w:t xml:space="preserve"> </w:t>
      </w:r>
      <m:oMath>
        <m:sSub>
          <m:e>
            <m:r>
              <m:rPr>
                <m:sty m:val="p"/>
              </m:rPr>
              <m:t>log</m:t>
            </m:r>
          </m:e>
          <m:sub>
            <m:r>
              <m:t>10</m:t>
            </m:r>
          </m:sub>
        </m:sSub>
        <m:sSub>
          <m:e>
            <m:r>
              <m:t>ζ</m:t>
            </m:r>
          </m:e>
          <m:sub>
            <m:r>
              <m:t>1</m:t>
            </m:r>
          </m:sub>
        </m:sSub>
      </m:oMath>
      <w:r>
        <w:t xml:space="preserve"> </w:t>
      </w:r>
      <w:r>
        <w:t xml:space="preserve">provides a very rough 1:1 correlation with</w:t>
      </w:r>
      <w:r>
        <w:t xml:space="preserve"> </w:t>
      </w:r>
      <m:oMath>
        <m:sSub>
          <m:e>
            <m:r>
              <m:t>N</m:t>
            </m:r>
          </m:e>
          <m:sub>
            <m:r>
              <m:t>M</m:t>
            </m:r>
            <m:r>
              <m:t>D</m:t>
            </m:r>
            <m:r>
              <m:t>M</m:t>
            </m:r>
          </m:sub>
        </m:sSub>
      </m:oMath>
      <w:r>
        <w:t xml:space="preserve">.</w:t>
      </w:r>
    </w:p>
    <w:p>
      <w:pPr>
        <w:pStyle w:val="BodyText"/>
      </w:pPr>
      <w:r>
        <w:t xml:space="preserve">The grain size parameters</w:t>
      </w:r>
      <w:r>
        <w:t xml:space="preserve"> </w:t>
      </w:r>
      <m:oMath>
        <m:sSub>
          <m:e>
            <m:r>
              <m:t>C</m:t>
            </m:r>
          </m:e>
          <m:sub>
            <m:r>
              <m:t>c</m:t>
            </m:r>
          </m:sub>
        </m:sSub>
      </m:oMath>
      <w:r>
        <w:t xml:space="preserve">,</w:t>
      </w:r>
      <w:r>
        <w:t xml:space="preserve"> </w:t>
      </w:r>
      <m:oMath>
        <m:sSub>
          <m:e>
            <m:r>
              <m:t>C</m:t>
            </m:r>
          </m:e>
          <m:sub>
            <m:r>
              <m:t>u</m:t>
            </m:r>
          </m:sub>
        </m:sSub>
      </m:oMath>
      <w:r>
        <w:t xml:space="preserve">, and</w:t>
      </w:r>
      <w:r>
        <w:t xml:space="preserve"> </w:t>
      </w:r>
      <m:oMath>
        <m:sSub>
          <m:e>
            <m:r>
              <m:t>I</m:t>
            </m:r>
          </m:e>
          <m:sub>
            <m:r>
              <m:t>G</m:t>
            </m:r>
            <m:r>
              <m:t>S</m:t>
            </m:r>
          </m:sub>
        </m:sSub>
      </m:oMath>
      <w:r>
        <w:t xml:space="preserve"> </w:t>
      </w:r>
      <w:r>
        <w:t xml:space="preserve">were found to not correlate well with</w:t>
      </w:r>
      <w:r>
        <w:t xml:space="preserve"> </w:t>
      </w:r>
      <m:oMath>
        <m:sSub>
          <m:e>
            <m:r>
              <m:t>N</m:t>
            </m:r>
          </m:e>
          <m:sub>
            <m:r>
              <m:t>M</m:t>
            </m:r>
            <m:r>
              <m:t>D</m:t>
            </m:r>
            <m:r>
              <m:t>M</m:t>
            </m:r>
          </m:sub>
        </m:sSub>
      </m:oMath>
      <w:r>
        <w:t xml:space="preserve">.</w:t>
      </w:r>
      <w:r>
        <w:t xml:space="preserve"> </w:t>
      </w:r>
      <w:r>
        <w:t xml:space="preserve">However,</w:t>
      </w:r>
      <w:r>
        <w:t xml:space="preserve"> </w:t>
      </w:r>
      <m:oMath>
        <m:sSub>
          <m:e>
            <m:r>
              <m:t>I</m:t>
            </m:r>
          </m:e>
          <m:sub>
            <m:r>
              <m:t>G</m:t>
            </m:r>
            <m:r>
              <m:t>S</m:t>
            </m:r>
          </m:sub>
        </m:sSub>
      </m:oMath>
      <w:r>
        <w:t xml:space="preserve"> </w:t>
      </w:r>
      <w:r>
        <w:t xml:space="preserve">is helpful for visualizing the breadth of correlation between</w:t>
      </w:r>
      <w:r>
        <w:t xml:space="preserve"> </w:t>
      </w:r>
      <m:oMath>
        <m:sSub>
          <m:e>
            <m:r>
              <m:t>N</m:t>
            </m:r>
          </m:e>
          <m:sub>
            <m:r>
              <m:t>M</m:t>
            </m:r>
            <m:r>
              <m:t>D</m:t>
            </m:r>
            <m:r>
              <m:t>M</m:t>
            </m:r>
          </m:sub>
        </m:sSub>
      </m:oMath>
      <w:r>
        <w:t xml:space="preserve"> </w:t>
      </w:r>
      <w:r>
        <w:t xml:space="preserve">and USCS classifications.</w:t>
      </w:r>
      <w:r>
        <w:t xml:space="preserve"> </w:t>
      </w:r>
      <w:hyperlink w:anchor="fig-uscs_n">
        <w:r>
          <w:rPr>
            <w:rStyle w:val="Hyperlink"/>
          </w:rPr>
          <w:t xml:space="preserve">Figure 5</w:t>
        </w:r>
      </w:hyperlink>
      <w:r>
        <w:t xml:space="preserve"> </w:t>
      </w:r>
      <w:r>
        <w:t xml:space="preserve">shows the range of</w:t>
      </w:r>
      <w:r>
        <w:t xml:space="preserve"> </w:t>
      </w:r>
      <m:oMath>
        <m:sSub>
          <m:e>
            <m:r>
              <m:t>N</m:t>
            </m:r>
          </m:e>
          <m:sub>
            <m:r>
              <m:t>M</m:t>
            </m:r>
            <m:r>
              <m:t>D</m:t>
            </m:r>
            <m:r>
              <m:t>M</m:t>
            </m:r>
          </m:sub>
        </m:sSub>
      </m:oMath>
      <w:r>
        <w:t xml:space="preserve"> </w:t>
      </w:r>
      <w:r>
        <w:t xml:space="preserve">associated with the granular USCS classifications in this study.</w:t>
      </w:r>
      <w:r>
        <w:t xml:space="preserve"> </w:t>
      </w:r>
      <w:r>
        <w:t xml:space="preserve">The lower boundary of the data results indicate that all but the broadest distributions have instances that can be matched with</w:t>
      </w:r>
      <w:r>
        <w:t xml:space="preserve"> </w:t>
      </w:r>
      <m:oMath>
        <m:sSub>
          <m:e>
            <m:r>
              <m:t>N</m:t>
            </m:r>
          </m:e>
          <m:sub>
            <m:r>
              <m:t>M</m:t>
            </m:r>
            <m:r>
              <m:t>D</m:t>
            </m:r>
            <m:r>
              <m:t>M</m:t>
            </m:r>
          </m:sub>
        </m:sSub>
      </m:oMath>
      <w:r>
        <w:t xml:space="preserve"> </w:t>
      </w:r>
      <w:r>
        <w:t xml:space="preserve">magnitudes of</w:t>
      </w:r>
      <w:r>
        <w:t xml:space="preserve"> </w:t>
      </w:r>
      <m:oMath>
        <m:r>
          <m:rPr>
            <m:sty m:val="p"/>
            <m:scr m:val="script"/>
          </m:rPr>
          <m:t>O</m:t>
        </m:r>
        <m:d>
          <m:dPr>
            <m:begChr m:val="("/>
            <m:endChr m:val=")"/>
            <m:sepChr m:val=""/>
            <m:grow/>
          </m:dPr>
          <m:e>
            <m:sSup>
              <m:e>
                <m:r>
                  <m:t>10</m:t>
                </m:r>
              </m:e>
              <m:sup>
                <m:r>
                  <m:t>2</m:t>
                </m:r>
              </m:sup>
            </m:sSup>
          </m:e>
        </m:d>
      </m:oMath>
      <w:r>
        <w:t xml:space="preserve"> </w:t>
      </w:r>
      <w:r>
        <w:t xml:space="preserve">or lower.</w:t>
      </w:r>
      <w:r>
        <w:t xml:space="preserve"> </w:t>
      </w:r>
      <w:r>
        <w:t xml:space="preserve">Yet even the classifications with the smallest observed matches also have numerous instances requiring magnitudes from</w:t>
      </w:r>
      <w:r>
        <w:t xml:space="preserve"> </w:t>
      </w:r>
      <m:oMath>
        <m:r>
          <m:rPr>
            <m:sty m:val="p"/>
            <m:scr m:val="script"/>
          </m:rPr>
          <m:t>O</m:t>
        </m:r>
        <m:d>
          <m:dPr>
            <m:begChr m:val="("/>
            <m:endChr m:val=")"/>
            <m:sepChr m:val=""/>
            <m:grow/>
          </m:dPr>
          <m:e>
            <m:sSup>
              <m:e>
                <m:r>
                  <m:t>10</m:t>
                </m:r>
              </m:e>
              <m:sup>
                <m:r>
                  <m:t>6</m:t>
                </m:r>
              </m:sup>
            </m:sSup>
          </m:e>
        </m:d>
      </m:oMath>
      <w:r>
        <w:t xml:space="preserve"> </w:t>
      </w:r>
      <w:r>
        <w:t xml:space="preserve">to</w:t>
      </w:r>
      <w:r>
        <w:t xml:space="preserve"> </w:t>
      </w:r>
      <m:oMath>
        <m:r>
          <m:rPr>
            <m:sty m:val="p"/>
            <m:scr m:val="script"/>
          </m:rPr>
          <m:t>O</m:t>
        </m:r>
        <m:d>
          <m:dPr>
            <m:begChr m:val="("/>
            <m:endChr m:val=")"/>
            <m:sepChr m:val=""/>
            <m:grow/>
          </m:dPr>
          <m:e>
            <m:sSup>
              <m:e>
                <m:r>
                  <m:t>10</m:t>
                </m:r>
              </m:e>
              <m:sup>
                <m:r>
                  <m:t>9</m:t>
                </m:r>
              </m:sup>
            </m:sSup>
          </m:e>
        </m:d>
      </m:oMath>
      <w:r>
        <w:t xml:space="preserve">.</w:t>
      </w:r>
    </w:p>
    <w:p>
      <w:pPr>
        <w:pStyle w:val="BodyText"/>
      </w:pPr>
      <w:r>
        <w:t xml:space="preserve">Relative to</w:t>
      </w:r>
      <w:r>
        <w:t xml:space="preserve"> </w:t>
      </w:r>
      <w:r>
        <w:t xml:space="preserve">“poorly graded gravel”</w:t>
      </w:r>
      <w:r>
        <w:t xml:space="preserve">,</w:t>
      </w:r>
      <w:r>
        <w:t xml:space="preserve"> </w:t>
      </w:r>
      <w:r>
        <w:t xml:space="preserve">“well-graded gravel”</w:t>
      </w:r>
      <w:r>
        <w:t xml:space="preserve"> </w:t>
      </w:r>
      <w:r>
        <w:t xml:space="preserve">tends to have larger</w:t>
      </w:r>
      <w:r>
        <w:t xml:space="preserve"> </w:t>
      </w:r>
      <m:oMath>
        <m:sSub>
          <m:e>
            <m:r>
              <m:t>N</m:t>
            </m:r>
          </m:e>
          <m:sub>
            <m:r>
              <m:t>M</m:t>
            </m:r>
            <m:r>
              <m:t>D</m:t>
            </m:r>
            <m:r>
              <m:t>M</m:t>
            </m:r>
          </m:sub>
        </m:sSub>
      </m:oMath>
      <w:r>
        <w:t xml:space="preserve">.</w:t>
      </w:r>
      <w:r>
        <w:t xml:space="preserve"> </w:t>
      </w:r>
      <w:r>
        <w:t xml:space="preserve">Where</w:t>
      </w:r>
      <w:r>
        <w:t xml:space="preserve"> </w:t>
      </w:r>
      <w:r>
        <w:t xml:space="preserve">“with sand”</w:t>
      </w:r>
      <w:r>
        <w:t xml:space="preserve"> </w:t>
      </w:r>
      <w:r>
        <w:t xml:space="preserve">is applicable to the gravel group name, the trend and lower limit of</w:t>
      </w:r>
      <w:r>
        <w:t xml:space="preserve"> </w:t>
      </w:r>
      <m:oMath>
        <m:sSub>
          <m:e>
            <m:r>
              <m:t>N</m:t>
            </m:r>
          </m:e>
          <m:sub>
            <m:r>
              <m:t>M</m:t>
            </m:r>
            <m:r>
              <m:t>D</m:t>
            </m:r>
            <m:r>
              <m:t>M</m:t>
            </m:r>
          </m:sub>
        </m:sSub>
      </m:oMath>
      <w:r>
        <w:t xml:space="preserve"> </w:t>
      </w:r>
      <w:r>
        <w:t xml:space="preserve">remains the same, but the upper range of</w:t>
      </w:r>
      <w:r>
        <w:t xml:space="preserve"> </w:t>
      </w:r>
      <m:oMath>
        <m:sSub>
          <m:e>
            <m:r>
              <m:t>N</m:t>
            </m:r>
          </m:e>
          <m:sub>
            <m:r>
              <m:t>M</m:t>
            </m:r>
            <m:r>
              <m:t>D</m:t>
            </m:r>
            <m:r>
              <m:t>M</m:t>
            </m:r>
          </m:sub>
        </m:sSub>
      </m:oMath>
      <w:r>
        <w:t xml:space="preserve"> </w:t>
      </w:r>
      <w:r>
        <w:t xml:space="preserve">is higher.</w:t>
      </w:r>
      <w:r>
        <w:t xml:space="preserve"> </w:t>
      </w:r>
      <w:r>
        <w:t xml:space="preserve">Instances where</w:t>
      </w:r>
      <w:r>
        <w:t xml:space="preserve"> </w:t>
      </w:r>
      <w:r>
        <w:t xml:space="preserve">“with silt and sand”</w:t>
      </w:r>
      <w:r>
        <w:t xml:space="preserve"> </w:t>
      </w:r>
      <w:r>
        <w:t xml:space="preserve">are applicable to the gravel group name were rare in the generated GSDs and had very high values of</w:t>
      </w:r>
      <w:r>
        <w:t xml:space="preserve"> </w:t>
      </w:r>
      <m:oMath>
        <m:sSub>
          <m:e>
            <m:r>
              <m:t>N</m:t>
            </m:r>
          </m:e>
          <m:sub>
            <m:r>
              <m:t>M</m:t>
            </m:r>
            <m:r>
              <m:t>D</m:t>
            </m:r>
            <m:r>
              <m:t>M</m:t>
            </m:r>
          </m:sub>
        </m:sSub>
      </m:oMath>
      <w:r>
        <w:t xml:space="preserve">.</w:t>
      </w:r>
      <w:r>
        <w:t xml:space="preserve"> </w:t>
      </w:r>
      <w:r>
        <w:t xml:space="preserve">The rarity and large</w:t>
      </w:r>
      <w:r>
        <w:t xml:space="preserve"> </w:t>
      </w:r>
      <m:oMath>
        <m:sSub>
          <m:e>
            <m:r>
              <m:t>N</m:t>
            </m:r>
          </m:e>
          <m:sub>
            <m:r>
              <m:t>M</m:t>
            </m:r>
            <m:r>
              <m:t>D</m:t>
            </m:r>
            <m:r>
              <m:t>M</m:t>
            </m:r>
          </m:sub>
        </m:sSub>
      </m:oMath>
      <w:r>
        <w:t xml:space="preserve"> </w:t>
      </w:r>
      <w:r>
        <w:t xml:space="preserve">for these gradations are due to strict requirements for these group names, which only a small range of values across a broad range of particle sizes can satisfy.</w:t>
      </w:r>
    </w:p>
    <w:p>
      <w:pPr>
        <w:pStyle w:val="BodyText"/>
      </w:pPr>
      <w:r>
        <w:t xml:space="preserve">Relative to</w:t>
      </w:r>
      <w:r>
        <w:t xml:space="preserve"> </w:t>
      </w:r>
      <w:r>
        <w:t xml:space="preserve">“poorly graded sand”</w:t>
      </w:r>
      <w:r>
        <w:t xml:space="preserve">,</w:t>
      </w:r>
      <w:r>
        <w:t xml:space="preserve"> </w:t>
      </w:r>
      <w:r>
        <w:t xml:space="preserve">“well-graded sand”</w:t>
      </w:r>
      <w:r>
        <w:t xml:space="preserve"> </w:t>
      </w:r>
      <w:r>
        <w:t xml:space="preserve">tends to have a similar (and quite broad) range of</w:t>
      </w:r>
      <w:r>
        <w:t xml:space="preserve"> </w:t>
      </w:r>
      <m:oMath>
        <m:sSub>
          <m:e>
            <m:r>
              <m:t>N</m:t>
            </m:r>
          </m:e>
          <m:sub>
            <m:r>
              <m:t>M</m:t>
            </m:r>
            <m:r>
              <m:t>D</m:t>
            </m:r>
            <m:r>
              <m:t>M</m:t>
            </m:r>
          </m:sub>
        </m:sSub>
      </m:oMath>
      <w:r>
        <w:t xml:space="preserve">.</w:t>
      </w:r>
      <w:r>
        <w:t xml:space="preserve"> </w:t>
      </w:r>
      <w:r>
        <w:t xml:space="preserve">The addition of</w:t>
      </w:r>
      <w:r>
        <w:t xml:space="preserve"> </w:t>
      </w:r>
      <w:r>
        <w:t xml:space="preserve">“with gravel”</w:t>
      </w:r>
      <w:r>
        <w:t xml:space="preserve"> </w:t>
      </w:r>
      <w:r>
        <w:t xml:space="preserve">or</w:t>
      </w:r>
      <w:r>
        <w:t xml:space="preserve"> </w:t>
      </w:r>
      <w:r>
        <w:t xml:space="preserve">“with silt”</w:t>
      </w:r>
      <w:r>
        <w:t xml:space="preserve"> </w:t>
      </w:r>
      <w:r>
        <w:t xml:space="preserve">makes very little difference in the range of</w:t>
      </w:r>
      <w:r>
        <w:t xml:space="preserve"> </w:t>
      </w:r>
      <m:oMath>
        <m:sSub>
          <m:e>
            <m:r>
              <m:t>N</m:t>
            </m:r>
          </m:e>
          <m:sub>
            <m:r>
              <m:t>M</m:t>
            </m:r>
            <m:r>
              <m:t>D</m:t>
            </m:r>
            <m:r>
              <m:t>M</m:t>
            </m:r>
          </m:sub>
        </m:sSub>
      </m:oMath>
      <w:r>
        <w:t xml:space="preserve"> </w:t>
      </w:r>
      <w:r>
        <w:t xml:space="preserve">at similar ranges of</w:t>
      </w:r>
      <w:r>
        <w:t xml:space="preserve"> </w:t>
      </w:r>
      <m:oMath>
        <m:sSub>
          <m:e>
            <m:r>
              <m:t>I</m:t>
            </m:r>
          </m:e>
          <m:sub>
            <m:r>
              <m:t>G</m:t>
            </m:r>
            <m:r>
              <m:t>S</m:t>
            </m:r>
          </m:sub>
        </m:sSub>
      </m:oMath>
      <w:r>
        <w:t xml:space="preserve"> </w:t>
      </w:r>
      <w:r>
        <w:t xml:space="preserve">(although a small increase in lower bound is apparent in</w:t>
      </w:r>
      <w:r>
        <w:t xml:space="preserve"> </w:t>
      </w:r>
      <w:r>
        <w:t xml:space="preserve">“well-graded sand with gravel”</w:t>
      </w:r>
      <w:r>
        <w:t xml:space="preserve">. Even</w:t>
      </w:r>
      <w:r>
        <w:t xml:space="preserve"> </w:t>
      </w:r>
      <w:r>
        <w:t xml:space="preserve">“silty sand”</w:t>
      </w:r>
      <w:r>
        <w:t xml:space="preserve"> </w:t>
      </w:r>
      <w:r>
        <w:t xml:space="preserve">appears to share orders of magnitude with</w:t>
      </w:r>
      <w:r>
        <w:t xml:space="preserve"> </w:t>
      </w:r>
      <w:r>
        <w:t xml:space="preserve">“poorly graded sand”</w:t>
      </w:r>
      <w:r>
        <w:t xml:space="preserve"> </w:t>
      </w:r>
      <w:r>
        <w:t xml:space="preserve">at comparable ranges of</w:t>
      </w:r>
      <w:r>
        <w:t xml:space="preserve"> </w:t>
      </w:r>
      <m:oMath>
        <m:sSub>
          <m:e>
            <m:r>
              <m:t>I</m:t>
            </m:r>
          </m:e>
          <m:sub>
            <m:r>
              <m:t>G</m:t>
            </m:r>
            <m:r>
              <m:t>S</m:t>
            </m:r>
          </m:sub>
        </m:sSub>
      </m:oMath>
      <w:r>
        <w:t xml:space="preserve">. Similar to the trends for gravels, sands whose group names include both silt and gravel were rare in the generated GSDs and had high values of</w:t>
      </w:r>
      <w:r>
        <w:t xml:space="preserve"> </w:t>
      </w:r>
      <m:oMath>
        <m:sSub>
          <m:e>
            <m:r>
              <m:t>N</m:t>
            </m:r>
          </m:e>
          <m:sub>
            <m:r>
              <m:t>M</m:t>
            </m:r>
            <m:r>
              <m:t>D</m:t>
            </m:r>
            <m:r>
              <m:t>M</m:t>
            </m:r>
          </m:sub>
        </m:sSub>
      </m:oMath>
      <w:r>
        <w:t xml:space="preserve">.</w:t>
      </w:r>
    </w:p>
    <w:tbl>
      <w:tblPr>
        <w:tblStyle w:val="Table"/>
        <w:tblW w:type="pct" w:w="5000"/>
        <w:tblLayout w:type="fixed"/>
        <w:tblLook w:firstRow="0" w:lastRow="0" w:firstColumn="0" w:lastColumn="0" w:noHBand="0" w:noVBand="0" w:val="0000"/>
      </w:tblPr>
      <w:tblGrid>
        <w:gridCol w:w="7920"/>
      </w:tblGrid>
      <w:tr>
        <w:tc>
          <w:tcPr/>
          <w:bookmarkStart w:id="56" w:name="fig-phi_n"/>
          <w:p>
            <w:pPr>
              <w:pStyle w:val="Compact"/>
              <w:jc w:val="center"/>
            </w:pPr>
            <w:r>
              <w:drawing>
                <wp:inline>
                  <wp:extent cx="4129696" cy="3366550"/>
                  <wp:effectExtent b="0" l="0" r="0" t="0"/>
                  <wp:docPr descr="" title="" id="54" name="Picture"/>
                  <a:graphic>
                    <a:graphicData uri="http://schemas.openxmlformats.org/drawingml/2006/picture">
                      <pic:pic>
                        <pic:nvPicPr>
                          <pic:cNvPr descr="minimal_packing_files/figure-docx/fig-phi_n-output-1.png" id="55" name="Picture"/>
                          <pic:cNvPicPr>
                            <a:picLocks noChangeArrowheads="1" noChangeAspect="1"/>
                          </pic:cNvPicPr>
                        </pic:nvPicPr>
                        <pic:blipFill>
                          <a:blip r:embed="rId53"/>
                          <a:stretch>
                            <a:fillRect/>
                          </a:stretch>
                        </pic:blipFill>
                        <pic:spPr bwMode="auto">
                          <a:xfrm>
                            <a:off x="0" y="0"/>
                            <a:ext cx="4129696" cy="336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in total number of MPS Particles with mass ratio.</w:t>
            </w:r>
          </w:p>
          <w:bookmarkEnd w:id="56"/>
        </w:tc>
      </w:tr>
    </w:tbl>
    <w:tbl>
      <w:tblPr>
        <w:tblStyle w:val="Table"/>
        <w:tblW w:type="pct" w:w="5000"/>
        <w:tblLayout w:type="fixed"/>
        <w:tblLook w:firstRow="0" w:lastRow="0" w:firstColumn="0" w:lastColumn="0" w:noHBand="0" w:noVBand="0" w:val="0000"/>
      </w:tblPr>
      <w:tblGrid>
        <w:gridCol w:w="7920"/>
      </w:tblGrid>
      <w:tr>
        <w:tc>
          <w:tcPr/>
          <w:bookmarkStart w:id="60" w:name="fig-curvature_n"/>
          <w:p>
            <w:pPr>
              <w:pStyle w:val="Compact"/>
              <w:jc w:val="center"/>
            </w:pPr>
            <w:r>
              <w:drawing>
                <wp:inline>
                  <wp:extent cx="4129696" cy="3348216"/>
                  <wp:effectExtent b="0" l="0" r="0" t="0"/>
                  <wp:docPr descr="" title="" id="58" name="Picture"/>
                  <a:graphic>
                    <a:graphicData uri="http://schemas.openxmlformats.org/drawingml/2006/picture">
                      <pic:pic>
                        <pic:nvPicPr>
                          <pic:cNvPr descr="minimal_packing_files/figure-docx/fig-curvature_n-output-1.png" id="59" name="Picture"/>
                          <pic:cNvPicPr>
                            <a:picLocks noChangeArrowheads="1" noChangeAspect="1"/>
                          </pic:cNvPicPr>
                        </pic:nvPicPr>
                        <pic:blipFill>
                          <a:blip r:embed="rId57"/>
                          <a:stretch>
                            <a:fillRect/>
                          </a:stretch>
                        </pic:blipFill>
                        <pic:spPr bwMode="auto">
                          <a:xfrm>
                            <a:off x="0" y="0"/>
                            <a:ext cx="4129696" cy="33482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total number of MPS Particles with curvature index.</w:t>
            </w:r>
          </w:p>
          <w:bookmarkEnd w:id="60"/>
        </w:tc>
      </w:tr>
    </w:tbl>
    <w:tbl>
      <w:tblPr>
        <w:tblStyle w:val="Table"/>
        <w:tblW w:type="pct" w:w="5000"/>
        <w:tblLayout w:type="fixed"/>
        <w:tblLook w:firstRow="0" w:lastRow="0" w:firstColumn="0" w:lastColumn="0" w:noHBand="0" w:noVBand="0" w:val="0000"/>
      </w:tblPr>
      <w:tblGrid>
        <w:gridCol w:w="7920"/>
      </w:tblGrid>
      <w:tr>
        <w:tc>
          <w:tcPr/>
          <w:bookmarkStart w:id="64" w:name="fig-uscs_n"/>
          <w:p>
            <w:pPr>
              <w:pStyle w:val="Compact"/>
              <w:jc w:val="center"/>
            </w:pPr>
            <w:r>
              <w:drawing>
                <wp:inline>
                  <wp:extent cx="4688878" cy="6497052"/>
                  <wp:effectExtent b="0" l="0" r="0" t="0"/>
                  <wp:docPr descr="" title="" id="62" name="Picture"/>
                  <a:graphic>
                    <a:graphicData uri="http://schemas.openxmlformats.org/drawingml/2006/picture">
                      <pic:pic>
                        <pic:nvPicPr>
                          <pic:cNvPr descr="minimal_packing_files/figure-docx/fig-uscs_n-output-1.png" id="63" name="Picture"/>
                          <pic:cNvPicPr>
                            <a:picLocks noChangeArrowheads="1" noChangeAspect="1"/>
                          </pic:cNvPicPr>
                        </pic:nvPicPr>
                        <pic:blipFill>
                          <a:blip r:embed="rId61"/>
                          <a:stretch>
                            <a:fillRect/>
                          </a:stretch>
                        </pic:blipFill>
                        <pic:spPr bwMode="auto">
                          <a:xfrm>
                            <a:off x="0" y="0"/>
                            <a:ext cx="4688878" cy="64970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USCS classifications of the MPS data.</w:t>
            </w:r>
          </w:p>
          <w:bookmarkEnd w:id="64"/>
        </w:tc>
      </w:tr>
    </w:tbl>
    <w:bookmarkEnd w:id="65"/>
    <w:bookmarkStart w:id="66" w:name="discussion"/>
    <w:p>
      <w:pPr>
        <w:pStyle w:val="Heading2"/>
      </w:pPr>
      <w:r>
        <w:t xml:space="preserve">Discussion</w:t>
      </w:r>
    </w:p>
    <w:p>
      <w:pPr>
        <w:pStyle w:val="FirstParagraph"/>
      </w:pPr>
      <w:r>
        <w:t xml:space="preserve">The spanned integer algorithm component of the approach presented here is effective in finding the MDM.</w:t>
      </w:r>
      <w:r>
        <w:t xml:space="preserve"> </w:t>
      </w:r>
      <w:r>
        <w:t xml:space="preserve">However, some caution is warranted in using the full flexibility allowed by a GSD on the discrete particle sizes.</w:t>
      </w:r>
      <w:r>
        <w:t xml:space="preserve"> </w:t>
      </w:r>
      <w:r>
        <w:t xml:space="preserve">While traditional sieve analyses, and the analagous mathematical representation presented herein do not provide any additional constraints, natural soil grain distributions are known to be broadly distributed between sieves</w:t>
      </w:r>
      <w:r>
        <w:t xml:space="preserve"> </w:t>
      </w:r>
      <w:r>
        <w:t xml:space="preserve">(Ghalib and Hryciw 1999)</w:t>
      </w:r>
      <w:r>
        <w:t xml:space="preserve">.</w:t>
      </w:r>
      <w:r>
        <w:t xml:space="preserve"> </w:t>
      </w:r>
      <w:r>
        <w:t xml:space="preserve">Modelers should inspect the MDM sizes of their target GSDs for results that would indicate abnormal underlying characteristics (e.g., repeated adjacent discrete sizes converging at the sieve boundary).</w:t>
      </w:r>
      <w:r>
        <w:t xml:space="preserve"> </w:t>
      </w:r>
      <w:r>
        <w:t xml:space="preserve">Approximate solutions to the MDM, which give greater control over particle sizes, may be sufficient depending on the application and the desired rigor in the</w:t>
      </w:r>
      <w:r>
        <w:t xml:space="preserve"> </w:t>
      </w:r>
      <m:oMath>
        <m:r>
          <m:t>S</m:t>
        </m:r>
        <m:r>
          <m:rPr>
            <m:sty m:val="p"/>
          </m:rPr>
          <m:t>:</m:t>
        </m:r>
        <m:r>
          <m:t>G</m:t>
        </m:r>
      </m:oMath>
      <w:r>
        <w:t xml:space="preserve"> </w:t>
      </w:r>
      <w:r>
        <w:t xml:space="preserve">match.</w:t>
      </w:r>
    </w:p>
    <w:p>
      <w:pPr>
        <w:pStyle w:val="BodyText"/>
      </w:pPr>
      <w:r>
        <w:t xml:space="preserve">It is important to note that an MDM does not constitute an RVE.</w:t>
      </w:r>
      <w:r>
        <w:t xml:space="preserve"> </w:t>
      </w:r>
      <w:r>
        <w:t xml:space="preserve">An MDM is defined purely in terms of discrete mass-volume relationships.</w:t>
      </w:r>
      <w:r>
        <w:t xml:space="preserve"> </w:t>
      </w:r>
      <w:r>
        <w:t xml:space="preserve">An RVE has additional requirements about the mechanical behavior.</w:t>
      </w:r>
      <w:r>
        <w:t xml:space="preserve"> </w:t>
      </w:r>
      <w:r>
        <w:t xml:space="preserve">Nevertheless, the mechanical behavior of granular materials is strongly influenced by its GSD, so the discrete mass-volume relationship is an integral part of the RVE.</w:t>
      </w:r>
      <w:r>
        <w:t xml:space="preserve"> </w:t>
      </w:r>
      <w:r>
        <w:t xml:space="preserve">In this sense, the MDM can be thought of as a building block and minimum bound on the particle count in RVE, which can be useful in assessing computational cost.</w:t>
      </w:r>
    </w:p>
    <w:p>
      <w:pPr>
        <w:pStyle w:val="BodyText"/>
      </w:pPr>
      <w:r>
        <w:t xml:space="preserve">To some extent, the number of particles used to study geomechanics may simply be limited by the number of particles needed to capture the behavior of interest.</w:t>
      </w:r>
      <w:r>
        <w:t xml:space="preserve"> </w:t>
      </w:r>
      <w:r>
        <w:t xml:space="preserve">For example, studies have shown that for certain combinations of grain size distribution (GSD) and density, there may be significant portions of the soil mass that are not mechanically engaged with the soil matrix.</w:t>
      </w:r>
      <w:r>
        <w:t xml:space="preserve"> </w:t>
      </w:r>
      <w:r>
        <w:t xml:space="preserve">This may lead to thresholds of particle size that can be omitted from a given simulation without significant impact on the behavior being studied.</w:t>
      </w:r>
      <w:r>
        <w:t xml:space="preserve"> </w:t>
      </w:r>
      <w:r>
        <w:t xml:space="preserve">This depends, of course, on what the behavior of interest is.</w:t>
      </w:r>
      <w:r>
        <w:t xml:space="preserve"> </w:t>
      </w:r>
      <w:r>
        <w:t xml:space="preserve">DEM studies focusing on shearing resistance will have different needs than those focused on permeability, for example.</w:t>
      </w:r>
    </w:p>
    <w:bookmarkEnd w:id="66"/>
    <w:bookmarkStart w:id="67" w:name="conclusions"/>
    <w:p>
      <w:pPr>
        <w:pStyle w:val="Heading2"/>
      </w:pPr>
      <w:r>
        <w:t xml:space="preserve">Conclusions</w:t>
      </w:r>
    </w:p>
    <w:p>
      <w:pPr>
        <w:pStyle w:val="FirstParagraph"/>
      </w:pPr>
      <w:r>
        <w:t xml:space="preserve">This paper described algorithms to 1) find a first-order approximation of a minimal discrete match (MDM) to general grain size distributions, 2) quantify the error in approximate minimal packings, and 3) find a rigorous solution for an MDM with a spanned integer approach.</w:t>
      </w:r>
      <w:r>
        <w:t xml:space="preserve"> </w:t>
      </w:r>
      <w:r>
        <w:t xml:space="preserve">Depending on the relative size of the RVE and MDM and whether the modeling application calls for a rigorous match between a target GSD and its DEM representation, either a rigorous or approximate approach may be appropriate.</w:t>
      </w:r>
    </w:p>
    <w:p>
      <w:pPr>
        <w:pStyle w:val="BodyText"/>
      </w:pPr>
      <w:r>
        <w:t xml:space="preserve">The MDM is to a valuable tool in quantifying the computational cost and assessing the feasibility of building DEM models of different grain size distributions.</w:t>
      </w:r>
      <w:r>
        <w:t xml:space="preserve"> </w:t>
      </w:r>
      <w:r>
        <w:t xml:space="preserve">The MDM results for a large distribution of USCS show several trends: increasing the ratio of maximum to minimum particle size, the relative mass of the smallest particles, and the curvature index all increase the size of the MDM.</w:t>
      </w:r>
    </w:p>
    <w:p>
      <w:pPr>
        <w:pStyle w:val="BodyText"/>
      </w:pPr>
      <w:r>
        <w:t xml:space="preserve">The distribution of MDM size across USCS classifications indicates that a wide range of realistic granular soils are feasibile for DEM modeling.</w:t>
      </w:r>
      <w:r>
        <w:t xml:space="preserve"> </w:t>
      </w:r>
      <w:r>
        <w:t xml:space="preserve">The distribution also indicates that neither USCS classification, curvature index, size, and mass ratios alone are sufficient to characterize MDM size.</w:t>
      </w:r>
      <w:r>
        <w:t xml:space="preserve"> </w:t>
      </w:r>
      <w:r>
        <w:t xml:space="preserve">This indicates that MDM magnitudes for specific GSDs of interest should calculated rather than estimated based on index parameters.</w:t>
      </w:r>
    </w:p>
    <w:bookmarkEnd w:id="67"/>
    <w:bookmarkStart w:id="95" w:name="data-and-code-availability"/>
    <w:p>
      <w:pPr>
        <w:pStyle w:val="Heading2"/>
      </w:pPr>
      <w:r>
        <w:t xml:space="preserve">Data and code availability</w:t>
      </w:r>
    </w:p>
    <w:p>
      <w:pPr>
        <w:pStyle w:val="FirstParagraph"/>
      </w:pPr>
      <w:r>
        <w:t xml:space="preserve">The Python code used to generate data, solve for minimal discrete matches, and plot figures are available on GitHub.</w:t>
      </w:r>
    </w:p>
    <w:bookmarkStart w:id="94" w:name="refs"/>
    <w:bookmarkStart w:id="69" w:name="ref-botet2021"/>
    <w:p>
      <w:pPr>
        <w:pStyle w:val="Bibliography"/>
      </w:pPr>
      <w:r>
        <w:t xml:space="preserve">Botet, Robert, Sylvie Kwok, and Bernard Cabane. 2021.</w:t>
      </w:r>
      <w:r>
        <w:t xml:space="preserve"> </w:t>
      </w:r>
      <w:r>
        <w:t xml:space="preserve">“Filling Space with Polydisperse Spheres in a Non-Apollonian Way.”</w:t>
      </w:r>
      <w:r>
        <w:t xml:space="preserve"> </w:t>
      </w:r>
      <w:r>
        <w:rPr>
          <w:i/>
          <w:iCs/>
        </w:rPr>
        <w:t xml:space="preserve">Journal of Physics A: Mathematical and Theoretical</w:t>
      </w:r>
      <w:r>
        <w:t xml:space="preserve"> </w:t>
      </w:r>
      <w:r>
        <w:t xml:space="preserve">54 (19): 195201.</w:t>
      </w:r>
      <w:r>
        <w:t xml:space="preserve"> </w:t>
      </w:r>
      <w:hyperlink r:id="rId68">
        <w:r>
          <w:rPr>
            <w:rStyle w:val="Hyperlink"/>
          </w:rPr>
          <w:t xml:space="preserve">https://doi.org/10.1088/1751-8121/abef81</w:t>
        </w:r>
      </w:hyperlink>
      <w:r>
        <w:t xml:space="preserve">.</w:t>
      </w:r>
    </w:p>
    <w:bookmarkEnd w:id="69"/>
    <w:bookmarkStart w:id="71" w:name="ref-cundall2001"/>
    <w:p>
      <w:pPr>
        <w:pStyle w:val="Bibliography"/>
      </w:pPr>
      <w:r>
        <w:t xml:space="preserve">Cundall, P. A. 2001.</w:t>
      </w:r>
      <w:r>
        <w:t xml:space="preserve"> </w:t>
      </w:r>
      <w:r>
        <w:t xml:space="preserve">“A Discontinuous Future for Numerical Modelling in Geomechanics?”</w:t>
      </w:r>
      <w:r>
        <w:t xml:space="preserve"> </w:t>
      </w:r>
      <w:r>
        <w:rPr>
          <w:i/>
          <w:iCs/>
        </w:rPr>
        <w:t xml:space="preserve">Proceedings of the Institution of Civil Engineers - Geotechnical Engineering</w:t>
      </w:r>
      <w:r>
        <w:t xml:space="preserve"> </w:t>
      </w:r>
      <w:r>
        <w:t xml:space="preserve">149 (1): 41–47.</w:t>
      </w:r>
      <w:r>
        <w:t xml:space="preserve"> </w:t>
      </w:r>
      <w:hyperlink r:id="rId70">
        <w:r>
          <w:rPr>
            <w:rStyle w:val="Hyperlink"/>
          </w:rPr>
          <w:t xml:space="preserve">https://doi.org/10.1680/geng.2001.149.1.41</w:t>
        </w:r>
      </w:hyperlink>
      <w:r>
        <w:t xml:space="preserve">.</w:t>
      </w:r>
    </w:p>
    <w:bookmarkEnd w:id="71"/>
    <w:bookmarkStart w:id="73" w:name="ref-cundall1979"/>
    <w:p>
      <w:pPr>
        <w:pStyle w:val="Bibliography"/>
      </w:pPr>
      <w:r>
        <w:t xml:space="preserve">Cundall, P. A., and O. D. L. Strack. 1979.</w:t>
      </w:r>
      <w:r>
        <w:t xml:space="preserve"> </w:t>
      </w:r>
      <w:r>
        <w:t xml:space="preserve">“A Discrete Numerical Model for Granular Assemblies.”</w:t>
      </w:r>
      <w:r>
        <w:t xml:space="preserve"> </w:t>
      </w:r>
      <w:r>
        <w:rPr>
          <w:i/>
          <w:iCs/>
        </w:rPr>
        <w:t xml:space="preserve">Géotechnique</w:t>
      </w:r>
      <w:r>
        <w:t xml:space="preserve"> </w:t>
      </w:r>
      <w:r>
        <w:t xml:space="preserve">29 (1): 47–65.</w:t>
      </w:r>
      <w:r>
        <w:t xml:space="preserve"> </w:t>
      </w:r>
      <w:hyperlink r:id="rId72">
        <w:r>
          <w:rPr>
            <w:rStyle w:val="Hyperlink"/>
          </w:rPr>
          <w:t xml:space="preserve">https://doi.org/10.1680/geot.1979.29.1.47</w:t>
        </w:r>
      </w:hyperlink>
      <w:r>
        <w:t xml:space="preserve">.</w:t>
      </w:r>
    </w:p>
    <w:bookmarkEnd w:id="73"/>
    <w:bookmarkStart w:id="75" w:name="ref-d18committee"/>
    <w:p>
      <w:pPr>
        <w:pStyle w:val="Bibliography"/>
      </w:pPr>
      <w:r>
        <w:t xml:space="preserve">D18 Committee. n.d.</w:t>
      </w:r>
      <w:r>
        <w:t xml:space="preserve"> </w:t>
      </w:r>
      <w:r>
        <w:t xml:space="preserve">“Test Methods for Particle-Size Distribution (Gradation) of Soils Using Sieve Analysis.”</w:t>
      </w:r>
      <w:r>
        <w:t xml:space="preserve"> </w:t>
      </w:r>
      <w:hyperlink r:id="rId74">
        <w:r>
          <w:rPr>
            <w:rStyle w:val="Hyperlink"/>
          </w:rPr>
          <w:t xml:space="preserve">https://doi.org/10.1520/d6913_d6913m-17</w:t>
        </w:r>
      </w:hyperlink>
      <w:r>
        <w:t xml:space="preserve">.</w:t>
      </w:r>
    </w:p>
    <w:bookmarkEnd w:id="75"/>
    <w:bookmarkStart w:id="77" w:name="ref-dong2022"/>
    <w:p>
      <w:pPr>
        <w:pStyle w:val="Bibliography"/>
      </w:pPr>
      <w:r>
        <w:t xml:space="preserve">Dong, Youkou, Dingtao Yan, and Lan Cui. 2022.</w:t>
      </w:r>
      <w:r>
        <w:t xml:space="preserve"> </w:t>
      </w:r>
      <w:r>
        <w:t xml:space="preserve">“An Efficient Parallel Framework for the Discrete Element Method Using GPU.”</w:t>
      </w:r>
      <w:r>
        <w:t xml:space="preserve"> </w:t>
      </w:r>
      <w:r>
        <w:rPr>
          <w:i/>
          <w:iCs/>
        </w:rPr>
        <w:t xml:space="preserve">Applied Sciences</w:t>
      </w:r>
      <w:r>
        <w:t xml:space="preserve"> </w:t>
      </w:r>
      <w:r>
        <w:t xml:space="preserve">12 (6): 3107.</w:t>
      </w:r>
      <w:r>
        <w:t xml:space="preserve"> </w:t>
      </w:r>
      <w:hyperlink r:id="rId76">
        <w:r>
          <w:rPr>
            <w:rStyle w:val="Hyperlink"/>
          </w:rPr>
          <w:t xml:space="preserve">https://doi.org/10.3390/app12063107</w:t>
        </w:r>
      </w:hyperlink>
      <w:r>
        <w:t xml:space="preserve">.</w:t>
      </w:r>
    </w:p>
    <w:bookmarkEnd w:id="77"/>
    <w:bookmarkStart w:id="79" w:name="ref-erguler2016"/>
    <w:p>
      <w:pPr>
        <w:pStyle w:val="Bibliography"/>
      </w:pPr>
      <w:r>
        <w:t xml:space="preserve">Erguler, Zeynal Abiddin. 2016.</w:t>
      </w:r>
      <w:r>
        <w:t xml:space="preserve"> </w:t>
      </w:r>
      <w:r>
        <w:t xml:space="preserve">“A Quantitative Method of Describing Grain Size Distribution of Soils and Some Examples for Its Applications.”</w:t>
      </w:r>
      <w:r>
        <w:t xml:space="preserve"> </w:t>
      </w:r>
      <w:r>
        <w:rPr>
          <w:i/>
          <w:iCs/>
        </w:rPr>
        <w:t xml:space="preserve">Bulletin of Engineering Geology and the Environment</w:t>
      </w:r>
      <w:r>
        <w:t xml:space="preserve"> </w:t>
      </w:r>
      <w:r>
        <w:t xml:space="preserve">75 (2): 807–19.</w:t>
      </w:r>
      <w:r>
        <w:t xml:space="preserve"> </w:t>
      </w:r>
      <w:hyperlink r:id="rId78">
        <w:r>
          <w:rPr>
            <w:rStyle w:val="Hyperlink"/>
          </w:rPr>
          <w:t xml:space="preserve">https://doi.org/10.1007/s10064-015-0790-1</w:t>
        </w:r>
      </w:hyperlink>
      <w:r>
        <w:t xml:space="preserve">.</w:t>
      </w:r>
    </w:p>
    <w:bookmarkEnd w:id="79"/>
    <w:bookmarkStart w:id="81" w:name="ref-fang2021"/>
    <w:p>
      <w:pPr>
        <w:pStyle w:val="Bibliography"/>
      </w:pPr>
      <w:r>
        <w:t xml:space="preserve">Fang, Luning, Ruochun Zhang, Colin Vanden Heuvel, Radu Serban, and Dan Negrut. 2021.</w:t>
      </w:r>
      <w:r>
        <w:t xml:space="preserve"> </w:t>
      </w:r>
      <w:r>
        <w:t xml:space="preserve">“Chrono::GPU: An Open-Source Simulation Package for Granular Dynamics Using the Discrete Element Method.”</w:t>
      </w:r>
      <w:r>
        <w:t xml:space="preserve"> </w:t>
      </w:r>
      <w:r>
        <w:rPr>
          <w:i/>
          <w:iCs/>
        </w:rPr>
        <w:t xml:space="preserve">Processes</w:t>
      </w:r>
      <w:r>
        <w:t xml:space="preserve"> </w:t>
      </w:r>
      <w:r>
        <w:t xml:space="preserve">9 (10): 1813.</w:t>
      </w:r>
      <w:r>
        <w:t xml:space="preserve"> </w:t>
      </w:r>
      <w:hyperlink r:id="rId80">
        <w:r>
          <w:rPr>
            <w:rStyle w:val="Hyperlink"/>
          </w:rPr>
          <w:t xml:space="preserve">https://doi.org/10.3390/pr9101813</w:t>
        </w:r>
      </w:hyperlink>
      <w:r>
        <w:t xml:space="preserve">.</w:t>
      </w:r>
    </w:p>
    <w:bookmarkEnd w:id="81"/>
    <w:bookmarkStart w:id="83" w:name="ref-ghalib1999"/>
    <w:p>
      <w:pPr>
        <w:pStyle w:val="Bibliography"/>
      </w:pPr>
      <w:r>
        <w:t xml:space="preserve">Ghalib, Ali M., and Roman D. Hryciw. 1999.</w:t>
      </w:r>
      <w:r>
        <w:t xml:space="preserve"> </w:t>
      </w:r>
      <w:r>
        <w:t xml:space="preserve">“Soil Particle Size Distribution by Mosaic Imaging and Watershed Analysis.”</w:t>
      </w:r>
      <w:r>
        <w:t xml:space="preserve"> </w:t>
      </w:r>
      <w:r>
        <w:rPr>
          <w:i/>
          <w:iCs/>
        </w:rPr>
        <w:t xml:space="preserve">Journal of Computing in Civil Engineering</w:t>
      </w:r>
      <w:r>
        <w:t xml:space="preserve"> </w:t>
      </w:r>
      <w:r>
        <w:t xml:space="preserve">13 (2): 80–87.</w:t>
      </w:r>
      <w:r>
        <w:t xml:space="preserve"> </w:t>
      </w:r>
      <w:hyperlink r:id="rId82">
        <w:r>
          <w:rPr>
            <w:rStyle w:val="Hyperlink"/>
          </w:rPr>
          <w:t xml:space="preserve">https://doi.org/10.1061/(ASCE)0887-3801(1999)13:2(80)</w:t>
        </w:r>
      </w:hyperlink>
      <w:r>
        <w:t xml:space="preserve">.</w:t>
      </w:r>
    </w:p>
    <w:bookmarkEnd w:id="83"/>
    <w:bookmarkStart w:id="85" w:name="ref-osullivan2014"/>
    <w:p>
      <w:pPr>
        <w:pStyle w:val="Bibliography"/>
      </w:pPr>
      <w:r>
        <w:t xml:space="preserve">O’Sullivan, C. 2014.</w:t>
      </w:r>
      <w:r>
        <w:t xml:space="preserve"> </w:t>
      </w:r>
      <w:r>
        <w:t xml:space="preserve">“Advancing Geomechanics Using DEM.”</w:t>
      </w:r>
      <w:r>
        <w:t xml:space="preserve"> </w:t>
      </w:r>
      <w:r>
        <w:t xml:space="preserve">In, edited by Kenichi Soga, Krishna Kumar, Giovanna Biscontin, and Matthew Kuo, 21–32. CRC Press.</w:t>
      </w:r>
      <w:r>
        <w:t xml:space="preserve"> </w:t>
      </w:r>
      <w:hyperlink r:id="rId84">
        <w:r>
          <w:rPr>
            <w:rStyle w:val="Hyperlink"/>
          </w:rPr>
          <w:t xml:space="preserve">http://www.crcnetbase.com/doi/abs/10.1201/b17395-4</w:t>
        </w:r>
      </w:hyperlink>
      <w:r>
        <w:t xml:space="preserve">.</w:t>
      </w:r>
    </w:p>
    <w:bookmarkEnd w:id="85"/>
    <w:bookmarkStart w:id="87" w:name="ref-sufian2021"/>
    <w:p>
      <w:pPr>
        <w:pStyle w:val="Bibliography"/>
      </w:pPr>
      <w:r>
        <w:t xml:space="preserve">Sufian, Adnan, Marion Artigaut, Thomas Shire, and Catherine O’Sullivan. 2021.</w:t>
      </w:r>
      <w:r>
        <w:t xml:space="preserve"> </w:t>
      </w:r>
      <w:r>
        <w:t xml:space="preserve">“Influence of Fabric on Stress Distribution in Gap-Graded Soil.”</w:t>
      </w:r>
      <w:r>
        <w:t xml:space="preserve"> </w:t>
      </w:r>
      <w:r>
        <w:rPr>
          <w:i/>
          <w:iCs/>
        </w:rPr>
        <w:t xml:space="preserve">Journal of Geotechnical and Geoenvironmental Engineering</w:t>
      </w:r>
      <w:r>
        <w:t xml:space="preserve"> </w:t>
      </w:r>
      <w:r>
        <w:t xml:space="preserve">147 (5): 04021016.</w:t>
      </w:r>
      <w:r>
        <w:t xml:space="preserve"> </w:t>
      </w:r>
      <w:hyperlink r:id="rId86">
        <w:r>
          <w:rPr>
            <w:rStyle w:val="Hyperlink"/>
          </w:rPr>
          <w:t xml:space="preserve">https://doi.org/10.1061/(ASCE)GT.1943-5606.0002487</w:t>
        </w:r>
      </w:hyperlink>
      <w:r>
        <w:t xml:space="preserve">.</w:t>
      </w:r>
    </w:p>
    <w:bookmarkEnd w:id="87"/>
    <w:bookmarkStart w:id="89" w:name="ref-tyler1992"/>
    <w:p>
      <w:pPr>
        <w:pStyle w:val="Bibliography"/>
      </w:pPr>
      <w:r>
        <w:t xml:space="preserve">Tyler, Scott W., and Stephen W. Wheatcraft. 1992.</w:t>
      </w:r>
      <w:r>
        <w:t xml:space="preserve"> </w:t>
      </w:r>
      <w:r>
        <w:t xml:space="preserve">“Fractal Scaling of Soil Particle-Size Distributions: Analysis and Limitations.”</w:t>
      </w:r>
      <w:r>
        <w:t xml:space="preserve"> </w:t>
      </w:r>
      <w:r>
        <w:rPr>
          <w:i/>
          <w:iCs/>
        </w:rPr>
        <w:t xml:space="preserve">Soil Science Society of America Journal</w:t>
      </w:r>
      <w:r>
        <w:t xml:space="preserve"> </w:t>
      </w:r>
      <w:r>
        <w:t xml:space="preserve">56 (2): 362–69.</w:t>
      </w:r>
      <w:r>
        <w:t xml:space="preserve"> </w:t>
      </w:r>
      <w:hyperlink r:id="rId88">
        <w:r>
          <w:rPr>
            <w:rStyle w:val="Hyperlink"/>
          </w:rPr>
          <w:t xml:space="preserve">https://doi.org/10.2136/sssaj1992.03615995005600020005x</w:t>
        </w:r>
      </w:hyperlink>
      <w:r>
        <w:t xml:space="preserve">.</w:t>
      </w:r>
    </w:p>
    <w:bookmarkEnd w:id="89"/>
    <w:bookmarkStart w:id="91" w:name="ref-zeraati-shamsabadi2025"/>
    <w:p>
      <w:pPr>
        <w:pStyle w:val="Bibliography"/>
      </w:pPr>
      <w:r>
        <w:t xml:space="preserve">Zeraati-Shamsabadi, Mohammad, and Abouzar Sadrekarimi. 2025.</w:t>
      </w:r>
      <w:r>
        <w:t xml:space="preserve"> </w:t>
      </w:r>
      <w:r>
        <w:t xml:space="preserve">“A DEM Study on the Effects of Specimen and Particle Sizes on Direct Simple Shear Tests.”</w:t>
      </w:r>
      <w:r>
        <w:t xml:space="preserve"> </w:t>
      </w:r>
      <w:r>
        <w:rPr>
          <w:i/>
          <w:iCs/>
        </w:rPr>
        <w:t xml:space="preserve">Granular Matter</w:t>
      </w:r>
      <w:r>
        <w:t xml:space="preserve"> </w:t>
      </w:r>
      <w:r>
        <w:t xml:space="preserve">27 (2).</w:t>
      </w:r>
      <w:r>
        <w:t xml:space="preserve"> </w:t>
      </w:r>
      <w:hyperlink r:id="rId90">
        <w:r>
          <w:rPr>
            <w:rStyle w:val="Hyperlink"/>
          </w:rPr>
          <w:t xml:space="preserve">https://doi.org/10.1007/s10035-025-01513-y</w:t>
        </w:r>
      </w:hyperlink>
      <w:r>
        <w:t xml:space="preserve">.</w:t>
      </w:r>
    </w:p>
    <w:bookmarkEnd w:id="91"/>
    <w:bookmarkStart w:id="93" w:name="ref-zhang2024"/>
    <w:p>
      <w:pPr>
        <w:pStyle w:val="Bibliography"/>
      </w:pPr>
      <w:r>
        <w:t xml:space="preserve">Zhang, Ruochun, Bonaventura Tagliafierro, Colin Vanden Heuvel, Shlok Sabarwal, Luning Bakke, Yulong Yue, Xin Wei, Radu Serban, and Dan Negruţ. 2024.</w:t>
      </w:r>
      <w:r>
        <w:t xml:space="preserve"> </w:t>
      </w:r>
      <w:r>
        <w:t xml:space="preserve">“Chrono DEM-Engine: A Discrete Element Method Dual-GPU Simulator with Customizable Contact Forces and Element Shape.”</w:t>
      </w:r>
      <w:r>
        <w:t xml:space="preserve"> </w:t>
      </w:r>
      <w:r>
        <w:rPr>
          <w:i/>
          <w:iCs/>
        </w:rPr>
        <w:t xml:space="preserve">Computer Physics Communications</w:t>
      </w:r>
      <w:r>
        <w:t xml:space="preserve"> </w:t>
      </w:r>
      <w:r>
        <w:t xml:space="preserve">300 (July): 109196.</w:t>
      </w:r>
      <w:r>
        <w:t xml:space="preserve"> </w:t>
      </w:r>
      <w:hyperlink r:id="rId92">
        <w:r>
          <w:rPr>
            <w:rStyle w:val="Hyperlink"/>
          </w:rPr>
          <w:t xml:space="preserve">https://doi.org/10.1016/j.cpc.2024.109196</w:t>
        </w:r>
      </w:hyperlink>
      <w:r>
        <w:t xml:space="preserve">.</w:t>
      </w:r>
    </w:p>
    <w:bookmarkEnd w:id="93"/>
    <w:bookmarkEnd w:id="94"/>
    <w:bookmarkEnd w:id="95"/>
    <w:sectPr w:rsidR="001A68BC">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XITS Math">
    <w:panose1 w:val="02000503000000000000"/>
    <w:charset w:val="00"/>
    <w:family w:val="modern"/>
    <w:notTrueType/>
    <w:pitch w:val="variable"/>
    <w:sig w:usb0="A00022FF" w:usb1="0203FDFF" w:usb2="0A000020" w:usb3="00000000" w:csb0="0000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1BA"/>
    <w:rsid w:val="000471BA"/>
    <w:rsid w:val="00102DE6"/>
    <w:rsid w:val="00194774"/>
    <w:rsid w:val="001A68BC"/>
    <w:rsid w:val="0039340C"/>
    <w:rsid w:val="003D05DD"/>
    <w:rsid w:val="005725D4"/>
    <w:rsid w:val="00711AD1"/>
    <w:rsid w:val="00764B97"/>
    <w:rsid w:val="00953CFA"/>
    <w:rsid w:val="00A63BCD"/>
    <w:rsid w:val="00D137AE"/>
    <w:rsid w:val="00D4781C"/>
    <w:rsid w:val="00EC3969"/>
    <w:rsid w:val="00F51C18"/>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kern w:val="2"/>
        <w:sz w:val="24"/>
        <w:szCs w:val="24"/>
        <w:lang w:bidi="ar-SA" w:eastAsia="en-US" w:val="en-US"/>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764B97"/>
    <w:rPr>
      <w:rFonts w:ascii="Times New Roman" w:cs="Times New Roman" w:hAnsi="Times New Roman"/>
      <w:sz w:val="18"/>
      <w:szCs w:val="18"/>
    </w:rPr>
  </w:style>
  <w:style w:styleId="Heading1" w:type="paragraph">
    <w:name w:val="heading 1"/>
    <w:basedOn w:val="Normal"/>
    <w:next w:val="Normal"/>
    <w:link w:val="Heading1Char"/>
    <w:uiPriority w:val="9"/>
    <w:qFormat/>
    <w:rsid w:val="000471BA"/>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Normal"/>
    <w:link w:val="Heading2Char"/>
    <w:uiPriority w:val="9"/>
    <w:semiHidden/>
    <w:unhideWhenUsed/>
    <w:qFormat/>
    <w:rsid w:val="000471BA"/>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Normal"/>
    <w:link w:val="Heading3Char"/>
    <w:uiPriority w:val="9"/>
    <w:semiHidden/>
    <w:unhideWhenUsed/>
    <w:qFormat/>
    <w:rsid w:val="000471BA"/>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Normal"/>
    <w:link w:val="Heading4Char"/>
    <w:uiPriority w:val="9"/>
    <w:semiHidden/>
    <w:unhideWhenUsed/>
    <w:qFormat/>
    <w:rsid w:val="000471BA"/>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Normal"/>
    <w:link w:val="Heading5Char"/>
    <w:uiPriority w:val="9"/>
    <w:semiHidden/>
    <w:unhideWhenUsed/>
    <w:qFormat/>
    <w:rsid w:val="000471BA"/>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Normal"/>
    <w:link w:val="Heading6Char"/>
    <w:uiPriority w:val="9"/>
    <w:semiHidden/>
    <w:unhideWhenUsed/>
    <w:qFormat/>
    <w:rsid w:val="000471BA"/>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0471BA"/>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semiHidden/>
    <w:unhideWhenUsed/>
    <w:qFormat/>
    <w:rsid w:val="000471BA"/>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Normal"/>
    <w:link w:val="Heading9Char"/>
    <w:uiPriority w:val="9"/>
    <w:semiHidden/>
    <w:unhideWhenUsed/>
    <w:qFormat/>
    <w:rsid w:val="000471BA"/>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0471BA"/>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0471BA"/>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0471BA"/>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0471BA"/>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0471BA"/>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0471BA"/>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0471BA"/>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0471BA"/>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0471BA"/>
    <w:rPr>
      <w:rFonts w:cstheme="majorBidi" w:eastAsiaTheme="majorEastAsia"/>
      <w:color w:themeColor="text1" w:themeTint="D8" w:val="272727"/>
    </w:rPr>
  </w:style>
  <w:style w:styleId="Title" w:type="paragraph">
    <w:name w:val="Title"/>
    <w:basedOn w:val="Normal"/>
    <w:next w:val="Normal"/>
    <w:link w:val="TitleChar"/>
    <w:uiPriority w:val="10"/>
    <w:qFormat/>
    <w:rsid w:val="000471BA"/>
    <w:pPr>
      <w:spacing w:after="80" w:line="240" w:lineRule="auto"/>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0471BA"/>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0471BA"/>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0471BA"/>
    <w:rPr>
      <w:rFonts w:cstheme="majorBidi" w:eastAsiaTheme="majorEastAsia"/>
      <w:color w:themeColor="text1" w:themeTint="A6" w:val="595959"/>
      <w:spacing w:val="15"/>
      <w:sz w:val="28"/>
      <w:szCs w:val="28"/>
    </w:rPr>
  </w:style>
  <w:style w:styleId="Quote" w:type="paragraph">
    <w:name w:val="Quote"/>
    <w:basedOn w:val="Normal"/>
    <w:next w:val="Normal"/>
    <w:link w:val="QuoteChar"/>
    <w:uiPriority w:val="29"/>
    <w:qFormat/>
    <w:rsid w:val="000471BA"/>
    <w:pPr>
      <w:spacing w:before="160"/>
      <w:jc w:val="center"/>
    </w:pPr>
    <w:rPr>
      <w:i/>
      <w:iCs/>
      <w:color w:themeColor="text1" w:themeTint="BF" w:val="404040"/>
    </w:rPr>
  </w:style>
  <w:style w:customStyle="1" w:styleId="QuoteChar" w:type="character">
    <w:name w:val="Quote Char"/>
    <w:basedOn w:val="DefaultParagraphFont"/>
    <w:link w:val="Quote"/>
    <w:uiPriority w:val="29"/>
    <w:rsid w:val="000471BA"/>
    <w:rPr>
      <w:i/>
      <w:iCs/>
      <w:color w:themeColor="text1" w:themeTint="BF" w:val="404040"/>
    </w:rPr>
  </w:style>
  <w:style w:styleId="ListParagraph" w:type="paragraph">
    <w:name w:val="List Paragraph"/>
    <w:basedOn w:val="Normal"/>
    <w:uiPriority w:val="34"/>
    <w:qFormat/>
    <w:rsid w:val="000471BA"/>
    <w:pPr>
      <w:ind w:left="720"/>
      <w:contextualSpacing/>
    </w:pPr>
  </w:style>
  <w:style w:styleId="IntenseEmphasis" w:type="character">
    <w:name w:val="Intense Emphasis"/>
    <w:basedOn w:val="DefaultParagraphFont"/>
    <w:uiPriority w:val="21"/>
    <w:qFormat/>
    <w:rsid w:val="000471BA"/>
    <w:rPr>
      <w:i/>
      <w:iCs/>
      <w:color w:themeColor="accent1" w:themeShade="BF" w:val="0F4761"/>
    </w:rPr>
  </w:style>
  <w:style w:styleId="IntenseQuote" w:type="paragraph">
    <w:name w:val="Intense Quote"/>
    <w:basedOn w:val="Normal"/>
    <w:next w:val="Normal"/>
    <w:link w:val="IntenseQuoteChar"/>
    <w:uiPriority w:val="30"/>
    <w:qFormat/>
    <w:rsid w:val="000471BA"/>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0471BA"/>
    <w:rPr>
      <w:i/>
      <w:iCs/>
      <w:color w:themeColor="accent1" w:themeShade="BF" w:val="0F4761"/>
    </w:rPr>
  </w:style>
  <w:style w:styleId="IntenseReference" w:type="character">
    <w:name w:val="Intense Reference"/>
    <w:basedOn w:val="DefaultParagraphFont"/>
    <w:uiPriority w:val="32"/>
    <w:qFormat/>
    <w:rsid w:val="000471BA"/>
    <w:rPr>
      <w:b/>
      <w:bCs/>
      <w:smallCaps/>
      <w:color w:themeColor="accent1" w:themeShade="BF" w:val="0F4761"/>
      <w:spacing w:val="5"/>
    </w:rPr>
  </w:style>
  <w:style w:styleId="PlaceholderText" w:type="character">
    <w:name w:val="Placeholder Text"/>
    <w:basedOn w:val="DefaultParagraphFont"/>
    <w:uiPriority w:val="99"/>
    <w:semiHidden/>
    <w:rsid w:val="000471BA"/>
    <w:rPr>
      <w:color w:val="666666"/>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hyperlink" Id="rId84" Target="http://www.crcnetbase.com/doi/abs/10.1201/b17395-4" TargetMode="External" /><Relationship Type="http://schemas.openxmlformats.org/officeDocument/2006/relationships/hyperlink" Id="rId90" Target="https://doi.org/10.1007/s10035-025-01513-y" TargetMode="External" /><Relationship Type="http://schemas.openxmlformats.org/officeDocument/2006/relationships/hyperlink" Id="rId78" Target="https://doi.org/10.1007/s10064-015-0790-1" TargetMode="External" /><Relationship Type="http://schemas.openxmlformats.org/officeDocument/2006/relationships/hyperlink" Id="rId92" Target="https://doi.org/10.1016/j.cpc.2024.109196" TargetMode="External" /><Relationship Type="http://schemas.openxmlformats.org/officeDocument/2006/relationships/hyperlink" Id="rId82" Target="https://doi.org/10.1061/(ASCE)0887-3801(1999)13:2(80)" TargetMode="External" /><Relationship Type="http://schemas.openxmlformats.org/officeDocument/2006/relationships/hyperlink" Id="rId86" Target="https://doi.org/10.1061/(ASCE)GT.1943-5606.0002487" TargetMode="External" /><Relationship Type="http://schemas.openxmlformats.org/officeDocument/2006/relationships/hyperlink" Id="rId68" Target="https://doi.org/10.1088/1751-8121/abef81" TargetMode="External" /><Relationship Type="http://schemas.openxmlformats.org/officeDocument/2006/relationships/hyperlink" Id="rId74" Target="https://doi.org/10.1520/d6913_d6913m-17" TargetMode="External" /><Relationship Type="http://schemas.openxmlformats.org/officeDocument/2006/relationships/hyperlink" Id="rId70" Target="https://doi.org/10.1680/geng.2001.149.1.41" TargetMode="External" /><Relationship Type="http://schemas.openxmlformats.org/officeDocument/2006/relationships/hyperlink" Id="rId72" Target="https://doi.org/10.1680/geot.1979.29.1.47" TargetMode="External" /><Relationship Type="http://schemas.openxmlformats.org/officeDocument/2006/relationships/hyperlink" Id="rId88" Target="https://doi.org/10.2136/sssaj1992.03615995005600020005x" TargetMode="External" /><Relationship Type="http://schemas.openxmlformats.org/officeDocument/2006/relationships/hyperlink" Id="rId76" Target="https://doi.org/10.3390/app12063107" TargetMode="External" /><Relationship Type="http://schemas.openxmlformats.org/officeDocument/2006/relationships/hyperlink" Id="rId80" Target="https://doi.org/10.3390/pr9101813" TargetMode="External" /></Relationships>
</file>

<file path=word/_rels/footnotes.xml.rels><?xml version="1.0" encoding="UTF-8"?><Relationships xmlns="http://schemas.openxmlformats.org/package/2006/relationships"><Relationship Type="http://schemas.openxmlformats.org/officeDocument/2006/relationships/hyperlink" Id="rId84" Target="http://www.crcnetbase.com/doi/abs/10.1201/b17395-4" TargetMode="External" /><Relationship Type="http://schemas.openxmlformats.org/officeDocument/2006/relationships/hyperlink" Id="rId90" Target="https://doi.org/10.1007/s10035-025-01513-y" TargetMode="External" /><Relationship Type="http://schemas.openxmlformats.org/officeDocument/2006/relationships/hyperlink" Id="rId78" Target="https://doi.org/10.1007/s10064-015-0790-1" TargetMode="External" /><Relationship Type="http://schemas.openxmlformats.org/officeDocument/2006/relationships/hyperlink" Id="rId92" Target="https://doi.org/10.1016/j.cpc.2024.109196" TargetMode="External" /><Relationship Type="http://schemas.openxmlformats.org/officeDocument/2006/relationships/hyperlink" Id="rId82" Target="https://doi.org/10.1061/(ASCE)0887-3801(1999)13:2(80)" TargetMode="External" /><Relationship Type="http://schemas.openxmlformats.org/officeDocument/2006/relationships/hyperlink" Id="rId86" Target="https://doi.org/10.1061/(ASCE)GT.1943-5606.0002487" TargetMode="External" /><Relationship Type="http://schemas.openxmlformats.org/officeDocument/2006/relationships/hyperlink" Id="rId68" Target="https://doi.org/10.1088/1751-8121/abef81" TargetMode="External" /><Relationship Type="http://schemas.openxmlformats.org/officeDocument/2006/relationships/hyperlink" Id="rId74" Target="https://doi.org/10.1520/d6913_d6913m-17" TargetMode="External" /><Relationship Type="http://schemas.openxmlformats.org/officeDocument/2006/relationships/hyperlink" Id="rId70" Target="https://doi.org/10.1680/geng.2001.149.1.41" TargetMode="External" /><Relationship Type="http://schemas.openxmlformats.org/officeDocument/2006/relationships/hyperlink" Id="rId72" Target="https://doi.org/10.1680/geot.1979.29.1.47" TargetMode="External" /><Relationship Type="http://schemas.openxmlformats.org/officeDocument/2006/relationships/hyperlink" Id="rId88" Target="https://doi.org/10.2136/sssaj1992.03615995005600020005x" TargetMode="External" /><Relationship Type="http://schemas.openxmlformats.org/officeDocument/2006/relationships/hyperlink" Id="rId76" Target="https://doi.org/10.3390/app12063107" TargetMode="External" /><Relationship Type="http://schemas.openxmlformats.org/officeDocument/2006/relationships/hyperlink" Id="rId80" Target="https://doi.org/10.3390/pr910181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10</Words>
  <Characters>58</Characters>
  <Application>Microsoft Office Word</Application>
  <DocSecurity>0</DocSecurity>
  <Lines>1</Lines>
  <Paragraphs>1</Paragraphs>
  <ScaleCrop>false</ScaleCrop>
  <Company/>
  <LinksUpToDate>false</LinksUpToDate>
  <CharactersWithSpaces>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Minimal discrete matches for target grain size distributions</dc:title>
  <dc:creator>Lorne Arnold</dc:creator>
  <cp:keywords/>
  <dcterms:created xsi:type="dcterms:W3CDTF">2025-08-05T19:40:08Z</dcterms:created>
  <dcterms:modified xsi:type="dcterms:W3CDTF">2025-08-05T19:40:08Z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editor">
    <vt:lpwstr/>
  </property>
  <property fmtid="{D5CDD505-2E9C-101B-9397-08002B2CF9AE}" pid="9" name="editor_options">
    <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jupyter">
    <vt:lpwstr>python3</vt:lpwstr>
  </property>
  <property fmtid="{D5CDD505-2E9C-101B-9397-08002B2CF9AE}" pid="15" name="labels">
    <vt:lpwstr/>
  </property>
  <property fmtid="{D5CDD505-2E9C-101B-9397-08002B2CF9AE}" pid="16" name="toc-title">
    <vt:lpwstr>Table of contents</vt:lpwstr>
  </property>
</Properties>
</file>