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right"/>
      </w:pPr>
      <w:r>
        <w:rPr>
          <w:rFonts w:ascii="Arial" w:cs="Arial" w:eastAsia="Arial" w:hAnsi="Arial"/>
          <w:color w:val="888888"/>
          <w:sz w:val="16"/>
          <w:szCs w:val="16"/>
        </w:rPr>
        <w:t xml:space="preserve">SIS021 — Ingeniería de Software | Actividad 2.3 — Ejemplo SASE | Pág. 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4"/>
              <w:left w:val="single" w:color="BBBBBB" w:sz="4"/>
              <w:bottom w:val="single" w:color="BBBBBB" w:sz="4"/>
              <w:right w:val="single" w:color="BBBBBB" w:sz="4"/>
            </w:tcBorders>
            <w:shd w:fill="1F386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Universidad Andina del Cusco</w:t>
            </w:r>
          </w:p>
          <w:p>
            <w:pPr>
              <w:jc w:val="center"/>
            </w:pPr>
            <w:r>
              <w:rPr>
                <w:rFonts w:ascii="Arial" w:cs="Arial" w:eastAsia="Arial" w:hAnsi="Arial"/>
                <w:color w:val="FFFFFF"/>
                <w:sz w:val="20"/>
                <w:szCs w:val="20"/>
              </w:rPr>
              <w:t xml:space="preserve">Escuela Profesional de Ingeniería de Sistemas</w:t>
            </w:r>
          </w:p>
          <w:p>
            <w:pPr>
              <w:jc w:val="center"/>
            </w:pPr>
            <w:r>
              <w:rPr>
                <w:rFonts w:ascii="Arial" w:cs="Arial" w:eastAsia="Arial" w:hAnsi="Arial"/>
                <w:color w:val="C9D4F0"/>
                <w:sz w:val="20"/>
                <w:szCs w:val="20"/>
              </w:rPr>
              <w:t xml:space="preserve">Ingeniería de Software — SIS021 | IX Ciclo | Plan 2025 | 2026-I</w:t>
            </w:r>
          </w:p>
        </w:tc>
      </w:tr>
    </w:tbl>
    <w:p>
      <w:pPr>
        <w:spacing w:after="30" w:before="30"/>
      </w:pPr>
      <w:r>
        <w:rPr>
          <w:sz w:val="20"/>
          <w:szCs w:val="20"/>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4"/>
              <w:left w:val="single" w:color="BBBBBB" w:sz="4"/>
              <w:bottom w:val="single" w:color="BBBBBB" w:sz="4"/>
              <w:right w:val="single" w:color="BBBBBB" w:sz="4"/>
            </w:tcBorders>
            <w:shd w:fill="2E5496"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ACTIVIDAD 2.3 — UNIDAD II</w:t>
            </w:r>
          </w:p>
          <w:p>
            <w:pPr>
              <w:jc w:val="center"/>
            </w:pPr>
            <w:r>
              <w:rPr>
                <w:rFonts w:ascii="Arial" w:cs="Arial" w:eastAsia="Arial" w:hAnsi="Arial"/>
                <w:b/>
                <w:bCs/>
                <w:color w:val="FFFFFF"/>
                <w:sz w:val="22"/>
                <w:szCs w:val="22"/>
              </w:rPr>
              <w:t xml:space="preserve">Documento de Diseño Arquitectónico</w:t>
            </w:r>
          </w:p>
          <w:p>
            <w:pPr>
              <w:jc w:val="center"/>
            </w:pPr>
            <w:r>
              <w:rPr>
                <w:rFonts w:ascii="Arial" w:cs="Arial" w:eastAsia="Arial" w:hAnsi="Arial"/>
                <w:b/>
                <w:bCs/>
                <w:color w:val="FFD966"/>
                <w:sz w:val="22"/>
                <w:szCs w:val="22"/>
              </w:rPr>
              <w:t xml:space="preserve">Sistema de Atención a Estudiantes — SASE</w:t>
            </w:r>
          </w:p>
        </w:tc>
      </w:tr>
    </w:tbl>
    <w:p>
      <w:pPr>
        <w:spacing w:after="30" w:before="30"/>
      </w:pPr>
      <w:r>
        <w:rPr>
          <w:sz w:val="20"/>
          <w:szCs w:val="20"/>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c>
          <w:tcPr>
            <w:tcW w:type="dxa" w:w="25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Equipo</w:t>
            </w:r>
          </w:p>
        </w:tc>
        <w:tc>
          <w:tcPr>
            <w:tcW w:type="dxa" w:w="65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8"/>
                <w:szCs w:val="18"/>
              </w:rPr>
              <w:t xml:space="preserve">Equipo Delta</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Código</w:t>
            </w:r>
          </w:p>
        </w:tc>
        <w:tc>
          <w:tcPr>
            <w:tcW w:type="dxa" w:w="65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8"/>
                <w:szCs w:val="18"/>
              </w:rPr>
              <w:t xml:space="preserve">SIS021</w:t>
            </w:r>
          </w:p>
        </w:tc>
      </w:tr>
      <w:tr>
        <w:tc>
          <w:tcPr>
            <w:tcW w:type="dxa" w:w="25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Semestre</w:t>
            </w:r>
          </w:p>
        </w:tc>
        <w:tc>
          <w:tcPr>
            <w:tcW w:type="dxa" w:w="65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8"/>
                <w:szCs w:val="18"/>
              </w:rPr>
              <w:t xml:space="preserve">2026-I</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Fecha de entrega</w:t>
            </w:r>
          </w:p>
        </w:tc>
        <w:tc>
          <w:tcPr>
            <w:tcW w:type="dxa" w:w="65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8"/>
                <w:szCs w:val="18"/>
              </w:rPr>
              <w:t xml:space="preserve">23 de octubre de 2026</w:t>
            </w:r>
          </w:p>
        </w:tc>
      </w:tr>
      <w:tr>
        <w:tc>
          <w:tcPr>
            <w:tcW w:type="dxa" w:w="25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Docente</w:t>
            </w:r>
          </w:p>
        </w:tc>
        <w:tc>
          <w:tcPr>
            <w:tcW w:type="dxa" w:w="65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8"/>
                <w:szCs w:val="18"/>
              </w:rPr>
              <w:t xml:space="preserve">Dr. Lornel Antonio Rivas Mago</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Integrantes</w:t>
            </w:r>
          </w:p>
        </w:tc>
        <w:tc>
          <w:tcPr>
            <w:tcW w:type="dxa" w:w="65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8"/>
                <w:szCs w:val="18"/>
              </w:rPr>
              <w:t xml:space="preserve">AM — Ana Mamani Quispe (Product Owner)
CR — Carlos Ríos Huanca (Scrum Master)
LT — Lucía Ttito Ccari (Desarrollador)
JP — Jorge Palomino Vargas (Desarrollador)</w:t>
            </w:r>
          </w:p>
        </w:tc>
      </w:tr>
      <w:tr>
        <w:tc>
          <w:tcPr>
            <w:tcW w:type="dxa" w:w="25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Nombre del archivo</w:t>
            </w:r>
          </w:p>
        </w:tc>
        <w:tc>
          <w:tcPr>
            <w:tcW w:type="dxa" w:w="65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8"/>
                <w:szCs w:val="18"/>
              </w:rPr>
              <w:t xml:space="preserve">SIS021_Act2-3_EquipoDelta_2026I.pdf</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Actividad previa</w:t>
            </w:r>
          </w:p>
        </w:tc>
        <w:tc>
          <w:tcPr>
            <w:tcW w:type="dxa" w:w="65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8"/>
                <w:szCs w:val="18"/>
              </w:rPr>
              <w:t xml:space="preserve">Act. 2.2 — Modelos UML del Sistema SASE</w:t>
            </w:r>
          </w:p>
        </w:tc>
      </w:tr>
    </w:tbl>
    <w:p>
      <w:pPr>
        <w:spacing w:after="30" w:before="30"/>
      </w:pPr>
      <w:r>
        <w:rPr>
          <w:sz w:val="20"/>
          <w:szCs w:val="20"/>
        </w:rPr>
        <w:t xml:space="preserve"/>
      </w:r>
    </w:p>
    <w:p>
      <w:pPr>
        <w:spacing w:after="30" w:before="30"/>
      </w:pPr>
      <w:r>
        <w:rPr>
          <w:sz w:val="20"/>
          <w:szCs w:val="20"/>
        </w:rPr>
        <w:t xml:space="preserve"/>
      </w:r>
    </w:p>
    <w:p>
      <w:pPr>
        <w:spacing w:after="120" w:before="300"/>
      </w:pPr>
      <w:r>
        <w:rPr>
          <w:rFonts w:ascii="Arial" w:cs="Arial" w:eastAsia="Arial" w:hAnsi="Arial"/>
          <w:b/>
          <w:bCs/>
          <w:color w:val="1F3864"/>
          <w:sz w:val="28"/>
          <w:szCs w:val="28"/>
        </w:rPr>
        <w:t xml:space="preserve">1. Introducción</w:t>
      </w:r>
    </w:p>
    <w:p>
      <w:pPr>
        <w:spacing w:after="60" w:before="60"/>
        <w:jc w:val="both"/>
      </w:pPr>
      <w:r>
        <w:rPr>
          <w:rFonts w:ascii="Arial" w:cs="Arial" w:eastAsia="Arial" w:hAnsi="Arial"/>
          <w:color w:val="000000"/>
          <w:sz w:val="20"/>
          <w:szCs w:val="20"/>
        </w:rPr>
        <w:t xml:space="preserve">Este documento presenta el diseño arquitectónico del Sistema de Atención a Estudiantes (SASE) de la Escuela Profesional de Ingeniería de Sistemas de la Universidad Andina del Cusco. El SASE centraliza el registro, priorización y canalización de solicitudes de apoyo académico, administrativo y de otra índole, permitiendo al estudiante hacer seguimiento en tiempo real del estado de su caso.</w:t>
      </w:r>
    </w:p>
    <w:p>
      <w:pPr>
        <w:spacing w:after="60" w:before="60"/>
        <w:jc w:val="both"/>
      </w:pPr>
      <w:r>
        <w:rPr>
          <w:rFonts w:ascii="Arial" w:cs="Arial" w:eastAsia="Arial" w:hAnsi="Arial"/>
          <w:color w:val="000000"/>
          <w:sz w:val="20"/>
          <w:szCs w:val="20"/>
        </w:rPr>
        <w:t xml:space="preserve">El diseño arquitectónico toma como base directa los requisitos no funcionales (RNF) implícitos en la especificación de requisitos (Actividad 2.1) y los modelos UML elaborados en la Actividad 2.2: el diagrama de contexto, el diagrama de casos de uso, el diagrama de clases y el diagrama de estados. Los componentes, entidades y flujos identificados en esos modelos aparecen de forma consistente en las vistas arquitectónicas de este documento.</w:t>
      </w:r>
    </w:p>
    <w:p>
      <w:pPr>
        <w:spacing w:after="30" w:before="30"/>
      </w:pPr>
      <w:r>
        <w:rPr>
          <w:sz w:val="20"/>
          <w:szCs w:val="20"/>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70"/>
      </w:tblGrid>
      <w:tr>
        <w:trPr>
          <w:tblHeader/>
        </w:trPr>
        <w:tc>
          <w:tcPr>
            <w:tcW w:type="dxa" w:w="1800"/>
            <w:tcBorders>
              <w:top w:val="single" w:color="BBBBBB" w:sz="4"/>
              <w:left w:val="single" w:color="BBBBBB" w:sz="4"/>
              <w:bottom w:val="single" w:color="BBBBBB" w:sz="4"/>
              <w:right w:val="single" w:color="BBBBBB" w:sz="4"/>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Sección</w:t>
            </w:r>
          </w:p>
        </w:tc>
        <w:tc>
          <w:tcPr>
            <w:tcW w:type="dxa" w:w="3100"/>
            <w:tcBorders>
              <w:top w:val="single" w:color="BBBBBB" w:sz="4"/>
              <w:left w:val="single" w:color="BBBBBB" w:sz="4"/>
              <w:bottom w:val="single" w:color="BBBBBB" w:sz="4"/>
              <w:right w:val="single" w:color="BBBBBB" w:sz="4"/>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c>
          <w:tcPr>
            <w:tcW w:type="dxa" w:w="4170"/>
            <w:tcBorders>
              <w:top w:val="single" w:color="BBBBBB" w:sz="4"/>
              <w:left w:val="single" w:color="BBBBBB" w:sz="4"/>
              <w:bottom w:val="single" w:color="BBBBBB" w:sz="4"/>
              <w:right w:val="single" w:color="BBBBBB" w:sz="4"/>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 / entregable previo</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 Decisiones arquitectónicas</w:t>
            </w:r>
          </w:p>
        </w:tc>
        <w:tc>
          <w:tcPr>
            <w:tcW w:type="dxa" w:w="3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 preguntas de la Fig. 6.2 de Sommerville respondidas para el SASE</w:t>
            </w:r>
          </w:p>
        </w:tc>
        <w:tc>
          <w:tcPr>
            <w:tcW w:type="dxa" w:w="41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 2.1 (RNF), Act. 2.2 (modelos)</w:t>
            </w:r>
          </w:p>
        </w:tc>
      </w:tr>
      <w:tr>
        <w:tc>
          <w:tcPr>
            <w:tcW w:type="dxa" w:w="18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3. Patrones seleccionados</w:t>
            </w:r>
          </w:p>
        </w:tc>
        <w:tc>
          <w:tcPr>
            <w:tcW w:type="dxa" w:w="31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Capas (3 capas) + MVC en capa de presentación</w:t>
            </w:r>
          </w:p>
        </w:tc>
        <w:tc>
          <w:tcPr>
            <w:tcW w:type="dxa" w:w="41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 2.2 (diagrama de casos de uso y clases)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 Vistas arquitectónicas</w:t>
            </w:r>
          </w:p>
        </w:tc>
        <w:tc>
          <w:tcPr>
            <w:tcW w:type="dxa" w:w="3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lógica (paquetes) y vista de desarrollo (componentes)</w:t>
            </w:r>
          </w:p>
        </w:tc>
        <w:tc>
          <w:tcPr>
            <w:tcW w:type="dxa" w:w="41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 2.2 (diagrama de clases y estados)</w:t>
            </w:r>
          </w:p>
        </w:tc>
      </w:tr>
      <w:tr>
        <w:tc>
          <w:tcPr>
            <w:tcW w:type="dxa" w:w="18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5. Consistencia entre modelos</w:t>
            </w:r>
          </w:p>
        </w:tc>
        <w:tc>
          <w:tcPr>
            <w:tcW w:type="dxa" w:w="31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Verificación de coherencia entre el DA y los entregables previos</w:t>
            </w:r>
          </w:p>
        </w:tc>
        <w:tc>
          <w:tcPr>
            <w:tcW w:type="dxa" w:w="41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 2.1, Act. 2.2</w:t>
            </w:r>
          </w:p>
        </w:tc>
      </w:tr>
    </w:tbl>
    <w:p>
      <w:pPr>
        <w:spacing w:after="30" w:before="30"/>
      </w:pPr>
      <w:r>
        <w:rPr>
          <w:sz w:val="20"/>
          <w:szCs w:val="20"/>
        </w:rPr>
        <w:t xml:space="preserve"/>
      </w:r>
    </w:p>
    <w:p>
      <w:pPr>
        <w:spacing w:after="30" w:before="30"/>
      </w:pPr>
      <w:r>
        <w:rPr>
          <w:sz w:val="20"/>
          <w:szCs w:val="20"/>
        </w:rPr>
        <w:t xml:space="preserve"/>
      </w:r>
    </w:p>
    <w:p>
      <w:pPr>
        <w:spacing w:after="120" w:before="300"/>
      </w:pPr>
      <w:r>
        <w:rPr>
          <w:rFonts w:ascii="Arial" w:cs="Arial" w:eastAsia="Arial" w:hAnsi="Arial"/>
          <w:b/>
          <w:bCs/>
          <w:color w:val="1F3864"/>
          <w:sz w:val="28"/>
          <w:szCs w:val="28"/>
        </w:rPr>
        <w:t xml:space="preserve">2. Decisiones Arquitectónicas</w:t>
      </w:r>
    </w:p>
    <w:p>
      <w:pPr>
        <w:spacing w:after="60" w:before="60"/>
        <w:jc w:val="both"/>
      </w:pPr>
      <w:r>
        <w:rPr>
          <w:rFonts w:ascii="Arial" w:cs="Arial" w:eastAsia="Arial" w:hAnsi="Arial"/>
          <w:color w:val="000000"/>
          <w:sz w:val="20"/>
          <w:szCs w:val="20"/>
        </w:rPr>
        <w:t xml:space="preserve">Las decisiones que siguen responden a las ocho preguntas de la Figura 6.2 de Sommerville (2016, p. 171). Cada decisión está justificada en los requisitos no funcionales del SASE: mantenibilidad, seguridad, disponibilidad y rendimiento, derivados del análisis de los requisitos de la Actividad 2.1 y de la naturaleza del sistema (sistema de procesamiento de transacciones de gestión interna universitaria).</w:t>
      </w:r>
    </w:p>
    <w:p>
      <w:pPr>
        <w:spacing w:after="30" w:before="30"/>
      </w:pPr>
      <w:r>
        <w:rPr>
          <w:sz w:val="20"/>
          <w:szCs w:val="20"/>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
        <w:gridCol w:w="1700"/>
        <w:gridCol w:w="3600"/>
        <w:gridCol w:w="3430"/>
      </w:tblGrid>
      <w:tr>
        <w:trPr>
          <w:tblHeader/>
        </w:trPr>
        <w:tc>
          <w:tcPr>
            <w:tcW w:type="dxa" w:w="3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(Fig. 6.2, Sommerville, 2016)</w:t>
            </w:r>
          </w:p>
        </w:tc>
        <w:tc>
          <w:tcPr>
            <w:tcW w:type="dxa" w:w="3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 tomada para el SASE</w:t>
            </w:r>
          </w:p>
        </w:tc>
        <w:tc>
          <w:tcPr>
            <w:tcW w:type="dxa" w:w="343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 en RNF del sistema</w:t>
            </w:r>
          </w:p>
        </w:tc>
      </w:tr>
      <w:tr>
        <w:tc>
          <w:tcPr>
            <w:tcW w:type="dxa" w:w="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P1</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¿Existe arquitectura genérica aplicable?</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Sí. El SASE es un sistema de procesamiento de transacciones con interfaz web: los usuarios ingresan solicitudes, el sistema las procesa y genera respuestas/notificaciones.</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Permite adoptar el patrón de capas con lógica de negocio centralizada, lo que reduce riesgos de diseño porque este tipo de arquitectura está bien documentado para sistemas de gestión.</w:t>
            </w:r>
          </w:p>
        </w:tc>
      </w:tr>
      <w:tr>
        <w:tc>
          <w:tcPr>
            <w:tcW w:type="dxa" w:w="34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P2</w:t>
            </w:r>
          </w:p>
        </w:tc>
        <w:tc>
          <w:tcPr>
            <w:tcW w:type="dxa" w:w="17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¿Cómo se distribuirá el sistema?</w:t>
            </w:r>
          </w:p>
        </w:tc>
        <w:tc>
          <w:tcPr>
            <w:tcW w:type="dxa" w:w="36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El SASE se desplegará en un servidor centralizado de la UAC con acceso web desde navegador. Los estudiantes y personal acceden desde dispositivos con conectividad institucional.</w:t>
            </w:r>
          </w:p>
        </w:tc>
        <w:tc>
          <w:tcPr>
            <w:tcW w:type="dxa" w:w="343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Disponibilidad (RNF): la centralización permite controlar el tiempo de actividad del servidor. Rendimiento (RNF): la lógica de negocio en el servidor evita dependencia del hardware del cliente.</w:t>
            </w:r>
          </w:p>
        </w:tc>
      </w:tr>
      <w:tr>
        <w:tc>
          <w:tcPr>
            <w:tcW w:type="dxa" w:w="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P3</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¿Qué patrón o estilo arquitectónico se usará?</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Patrón de capas (3 capas: presentación, lógica de negocio, datos) con MVC dentro de la capa de presentación para organizar la interfaz de usuario.</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Mantenibilidad (RNF): cada capa puede modificarse sin afectar las otras. Seguridad (RNF): la capa de datos queda protegida detrás de la lógica de negocio.</w:t>
            </w:r>
          </w:p>
        </w:tc>
      </w:tr>
      <w:tr>
        <w:tc>
          <w:tcPr>
            <w:tcW w:type="dxa" w:w="34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P4</w:t>
            </w:r>
          </w:p>
        </w:tc>
        <w:tc>
          <w:tcPr>
            <w:tcW w:type="dxa" w:w="17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¿Cuál es el enfoque principal de estructura?</w:t>
            </w:r>
          </w:p>
        </w:tc>
        <w:tc>
          <w:tcPr>
            <w:tcW w:type="dxa" w:w="36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Organización por capas. La capa de presentación gestiona la interfaz de los actores (Estudiante, Operador, Personal de Unidad, Director, Administrador). La capa de negocio contiene la lógica de clasificación, priorización y notificación. La capa de datos gestiona la persistencia de Solicitud, DetalleSolicitud, Usuario y Notificacion.</w:t>
            </w:r>
          </w:p>
        </w:tc>
        <w:tc>
          <w:tcPr>
            <w:tcW w:type="dxa" w:w="343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Los requisitos funcionales principales (HU01–HU05) involucran flujos de datos entre actores y la entidad Solicitud, lo que encaja directamente con la separación por capas.</w:t>
            </w:r>
          </w:p>
        </w:tc>
      </w:tr>
      <w:tr>
        <w:tc>
          <w:tcPr>
            <w:tcW w:type="dxa" w:w="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P5</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¿Qué estrategia de control se usará?</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Control centralizado: el módulo de negocio (SolicitudService) coordina las operaciones de registro, clasificación, priorización y notificación. No se usa arquitectura de eventos puros.</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El comportamiento del sistema modelado en el diagrama de estados (Act. 2.2) muestra transiciones secuenciales controladas (Pendiente → En Clasificación → En Proceso → Resuelta), lo que es coherente con control centralizado.</w:t>
            </w:r>
          </w:p>
        </w:tc>
      </w:tr>
      <w:tr>
        <w:tc>
          <w:tcPr>
            <w:tcW w:type="dxa" w:w="34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P6</w:t>
            </w:r>
          </w:p>
        </w:tc>
        <w:tc>
          <w:tcPr>
            <w:tcW w:type="dxa" w:w="17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¿Cómo se descomponen los componentes?</w:t>
            </w:r>
          </w:p>
        </w:tc>
        <w:tc>
          <w:tcPr>
            <w:tcW w:type="dxa" w:w="36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La capa de negocio se descompone en cuatro módulos: SolicitudService (registro y ciclo de vida), ClasificacionService (enrutamiento y prioridad), NotificacionService (integración con correo institucional), ReporteService (generación de reportes para el Director).</w:t>
            </w:r>
          </w:p>
        </w:tc>
        <w:tc>
          <w:tcPr>
            <w:tcW w:type="dxa" w:w="343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Esta descomposición corresponde directamente a las cuatro épicas del backlog (Act. 1.3) y a los cuatro grupos de casos de uso del diagrama de la Act. 2.2.</w:t>
            </w:r>
          </w:p>
        </w:tc>
      </w:tr>
      <w:tr>
        <w:tc>
          <w:tcPr>
            <w:tcW w:type="dxa" w:w="3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P7</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¿Cómo responde la arquitectura a los RNF?</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Seguridad: la capa de datos no es accesible directamente desde la presentación. Mantenibilidad: módulos de servicio de grano fino, independientes. Disponibilidad: arquitectura centralizada con posibilidad de despliegue en servidor redundante. Rendimiento: la asignación de prioridad (HU05) se ejecuta en la capa de negocio sin acceso directo a la BD del cliente.</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Basado en los cinco criterios de Sommerville (2016, pp. 172-174): la separación de capas responde a seguridad y mantenibilidad; la co-ubicación de SolicitudService con ClasificacionService responde a rendimiento en el flujo principal.</w:t>
            </w:r>
          </w:p>
        </w:tc>
      </w:tr>
      <w:tr>
        <w:tc>
          <w:tcPr>
            <w:tcW w:type="dxa" w:w="34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P8</w:t>
            </w:r>
          </w:p>
        </w:tc>
        <w:tc>
          <w:tcPr>
            <w:tcW w:type="dxa" w:w="17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¿Cómo se documentará la arquitectura?</w:t>
            </w:r>
          </w:p>
        </w:tc>
        <w:tc>
          <w:tcPr>
            <w:tcW w:type="dxa" w:w="36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Se elaboran dos vistas del modelo 4+1: (1) Vista lógica — diagrama de paquetes UML que muestra las tres capas y sus componentes. (2) Vista de desarrollo — diagrama de componentes UML que muestra los módulos de negocio y sus dependencias.</w:t>
            </w:r>
          </w:p>
        </w:tc>
        <w:tc>
          <w:tcPr>
            <w:tcW w:type="dxa" w:w="343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Estas dos vistas son las más relevantes para el SASE dado que el sistema no tiene requisitos de procesamiento concurrente complejo ni despliegue en múltiples nodos físicos distintos.</w:t>
            </w:r>
          </w:p>
        </w:tc>
      </w:tr>
    </w:tbl>
    <w:p>
      <w:pPr>
        <w:spacing w:after="30" w:before="30"/>
      </w:pPr>
      <w:r>
        <w:rPr>
          <w:sz w:val="20"/>
          <w:szCs w:val="20"/>
        </w:rPr>
        <w:t xml:space="preserve"/>
      </w:r>
    </w:p>
    <w:p>
      <w:pPr>
        <w:spacing w:after="60" w:before="60"/>
      </w:pPr>
      <w:r>
        <w:rPr>
          <w:rFonts w:ascii="Arial" w:cs="Arial" w:eastAsia="Arial" w:hAnsi="Arial"/>
          <w:b/>
          <w:bCs/>
          <w:i/>
          <w:iCs/>
          <w:color w:val="555555"/>
          <w:sz w:val="19"/>
          <w:szCs w:val="19"/>
        </w:rPr>
        <w:t xml:space="preserve">Nota: </w:t>
      </w:r>
      <w:r>
        <w:rPr>
          <w:rFonts w:ascii="Arial" w:cs="Arial" w:eastAsia="Arial" w:hAnsi="Arial"/>
          <w:i/>
          <w:iCs/>
          <w:color w:val="555555"/>
          <w:sz w:val="19"/>
          <w:szCs w:val="19"/>
        </w:rPr>
        <w:t xml:space="preserve">Los RNF citados (mantenibilidad, seguridad, disponibilidad, rendimiento) son los cinco criterios de Sommerville (2016, pp. 172-174) aplicados al dominio del SASE. Su identificación parte de los requisitos funcionales de la Act. 2.1 y del tipo de sistema (multi-actor, centralizado, con flujo de estados).</w:t>
      </w:r>
    </w:p>
    <w:p>
      <w:pPr>
        <w:spacing w:after="30" w:before="30"/>
      </w:pPr>
      <w:r>
        <w:rPr>
          <w:sz w:val="20"/>
          <w:szCs w:val="20"/>
        </w:rPr>
        <w:t xml:space="preserve"/>
      </w:r>
    </w:p>
    <w:p>
      <w:pPr>
        <w:spacing w:after="30" w:before="30"/>
      </w:pPr>
      <w:r>
        <w:rPr>
          <w:sz w:val="20"/>
          <w:szCs w:val="20"/>
        </w:rPr>
        <w:t xml:space="preserve"/>
      </w:r>
    </w:p>
    <w:p>
      <w:pPr>
        <w:spacing w:after="120" w:before="300"/>
      </w:pPr>
      <w:r>
        <w:rPr>
          <w:rFonts w:ascii="Arial" w:cs="Arial" w:eastAsia="Arial" w:hAnsi="Arial"/>
          <w:b/>
          <w:bCs/>
          <w:color w:val="1F3864"/>
          <w:sz w:val="28"/>
          <w:szCs w:val="28"/>
        </w:rPr>
        <w:t xml:space="preserve">3. Patrones Arquitectónicos Seleccionados</w:t>
      </w:r>
    </w:p>
    <w:p>
      <w:pPr>
        <w:spacing w:after="60" w:before="60"/>
        <w:jc w:val="both"/>
      </w:pPr>
      <w:r>
        <w:rPr>
          <w:rFonts w:ascii="Arial" w:cs="Arial" w:eastAsia="Arial" w:hAnsi="Arial"/>
          <w:color w:val="000000"/>
          <w:sz w:val="20"/>
          <w:szCs w:val="20"/>
        </w:rPr>
        <w:t xml:space="preserve">El equipo selecciona dos patrones complementarios: Capas (patrón principal, aplica a todo el sistema) y MVC (patrón secundario, aplica dentro de la capa de presentación). La combinación de ambos es coherente con el tipo de sistema y con los requisitos no funcionales identificados.</w:t>
      </w:r>
    </w:p>
    <w:p>
      <w:pPr>
        <w:spacing w:after="30" w:before="30"/>
      </w:pPr>
      <w:r>
        <w:rPr>
          <w:sz w:val="20"/>
          <w:szCs w:val="20"/>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500"/>
        <w:gridCol w:w="2470"/>
      </w:tblGrid>
      <w:tr>
        <w:trPr>
          <w:tblHeader/>
        </w:trPr>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Patrón seleccionado</w:t>
            </w:r>
          </w:p>
        </w:tc>
        <w:tc>
          <w:tcPr>
            <w:tcW w:type="dxa" w:w="23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 qué aplica al SASE</w:t>
            </w:r>
          </w:p>
        </w:tc>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Ventajas para el SASE</w:t>
            </w:r>
          </w:p>
        </w:tc>
        <w:tc>
          <w:tcPr>
            <w:tcW w:type="dxa" w:w="247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Desventajas y trade-off</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Capas
(3 capas: Presentación — Negocio — Datos)</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El SASE tiene múltiples actores con interfaces distintas (web) que acceden a lógica de negocio compartida (clasificación, priorización, notificación) y a una base de datos común. Esta separación es el escenario exacto para el que está diseñado el patrón de capas.</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Cada capa puede modificarse de forma independiente (p. ej., cambiar la interfaz sin tocar la lógica). La capa de datos queda protegida. Favorece la seguridad: solo la capa de negocio accede directamente a los datos. Facilita el trabajo en equipo: cada integrante puede trabajar en una capa diferente.</w:t>
            </w:r>
          </w:p>
        </w:tc>
        <w:tc>
          <w:tcPr>
            <w:tcW w:type="dxa" w:w="24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El rendimiento puede degradarse si una solicitud debe atravesar todas las capas para operaciones simples. La separación estricta puede generar código repetitivo (mapeo entre capas). Trade-off principal: mantenibilidad y seguridad a costa de overhead de rendimiento en cada solicitud.</w:t>
            </w:r>
          </w:p>
        </w:tc>
      </w:tr>
      <w:tr>
        <w:tc>
          <w:tcPr>
            <w:tcW w:type="dxa" w:w="18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MVC
(dentro de la capa de Presentación)</w:t>
            </w:r>
          </w:p>
        </w:tc>
        <w:tc>
          <w:tcPr>
            <w:tcW w:type="dxa" w:w="23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La interfaz del SASE tiene múltiples vistas para actores distintos (el Estudiante ve su historial, el Operador ve el panel de clasificación, el Director ve reportes) sobre los mismos datos subyacentes. MVC permite gestionar estas representaciones múltiples sin duplicar la lógica de acceso a datos.</w:t>
            </w:r>
          </w:p>
        </w:tc>
        <w:tc>
          <w:tcPr>
            <w:tcW w:type="dxa" w:w="25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Separa la presentación (Vista) de la lógica de navegación (Controlador) y de los datos que se muestran (Modelo de presentación). Facilita agregar nuevas vistas sin modificar la lógica existente. Coherente con frameworks web modernos (Spring MVC, Django, Laravel).</w:t>
            </w:r>
          </w:p>
        </w:tc>
        <w:tc>
          <w:tcPr>
            <w:tcW w:type="dxa" w:w="24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Añade complejidad a la capa de presentación. En pantallas simples puede ser excesivo. La sincronización entre Vista y Modelo puede generar errores difíciles de rastrear. Trade-off principal: flexibilidad de presentación a costa de mayor complejidad estructural en la capa de interfaz.</w:t>
            </w:r>
          </w:p>
        </w:tc>
      </w:tr>
    </w:tbl>
    <w:p>
      <w:pPr>
        <w:spacing w:after="30" w:before="30"/>
      </w:pPr>
      <w:r>
        <w:rPr>
          <w:sz w:val="20"/>
          <w:szCs w:val="20"/>
        </w:rPr>
        <w:t xml:space="preserve"/>
      </w:r>
    </w:p>
    <w:p>
      <w:pPr>
        <w:spacing w:after="80" w:before="220"/>
      </w:pPr>
      <w:r>
        <w:rPr>
          <w:rFonts w:ascii="Arial" w:cs="Arial" w:eastAsia="Arial" w:hAnsi="Arial"/>
          <w:b/>
          <w:bCs/>
          <w:color w:val="2E5496"/>
          <w:sz w:val="22"/>
          <w:szCs w:val="22"/>
        </w:rPr>
        <w:t xml:space="preserve">3.1 Articulación entre patrones</w:t>
      </w:r>
    </w:p>
    <w:p>
      <w:pPr>
        <w:spacing w:after="60" w:before="60"/>
        <w:jc w:val="both"/>
      </w:pPr>
      <w:r>
        <w:rPr>
          <w:rFonts w:ascii="Arial" w:cs="Arial" w:eastAsia="Arial" w:hAnsi="Arial"/>
          <w:color w:val="000000"/>
          <w:sz w:val="20"/>
          <w:szCs w:val="20"/>
        </w:rPr>
        <w:t xml:space="preserve">Los dos patrones no son excluyentes sino complementarios dentro del SASE:</w:t>
      </w:r>
    </w:p>
    <w:p>
      <w:pPr>
        <w:pStyle w:val="ListParagraph"/>
        <w:numPr>
          <w:ilvl w:val="0"/>
          <w:numId w:val="2"/>
        </w:numPr>
        <w:spacing w:after="50" w:before="50"/>
      </w:pPr>
      <w:r>
        <w:rPr>
          <w:rFonts w:ascii="Arial" w:cs="Arial" w:eastAsia="Arial" w:hAnsi="Arial"/>
          <w:sz w:val="20"/>
          <w:szCs w:val="20"/>
        </w:rPr>
        <w:t xml:space="preserve">El patrón de </w:t>
      </w:r>
      <w:r>
        <w:rPr>
          <w:rFonts w:ascii="Arial" w:cs="Arial" w:eastAsia="Arial" w:hAnsi="Arial"/>
          <w:b/>
          <w:bCs/>
          <w:sz w:val="20"/>
          <w:szCs w:val="20"/>
        </w:rPr>
        <w:t xml:space="preserve">Capas</w:t>
      </w:r>
      <w:r>
        <w:rPr>
          <w:rFonts w:ascii="Arial" w:cs="Arial" w:eastAsia="Arial" w:hAnsi="Arial"/>
          <w:sz w:val="20"/>
          <w:szCs w:val="20"/>
        </w:rPr>
        <w:t xml:space="preserve"> define la estructura macro del sistema: Presentación → Negocio → Datos. Cada capa tiene una responsabilidad exclusiva y solo puede comunicarse con la capa inmediatamente inferior.</w:t>
      </w:r>
    </w:p>
    <w:p>
      <w:pPr>
        <w:pStyle w:val="ListParagraph"/>
        <w:numPr>
          <w:ilvl w:val="0"/>
          <w:numId w:val="2"/>
        </w:numPr>
        <w:spacing w:after="50" w:before="50"/>
      </w:pPr>
      <w:r>
        <w:rPr>
          <w:rFonts w:ascii="Arial" w:cs="Arial" w:eastAsia="Arial" w:hAnsi="Arial"/>
          <w:sz w:val="20"/>
          <w:szCs w:val="20"/>
        </w:rPr>
        <w:t xml:space="preserve">El patrón </w:t>
      </w:r>
      <w:r>
        <w:rPr>
          <w:rFonts w:ascii="Arial" w:cs="Arial" w:eastAsia="Arial" w:hAnsi="Arial"/>
          <w:b/>
          <w:bCs/>
          <w:sz w:val="20"/>
          <w:szCs w:val="20"/>
        </w:rPr>
        <w:t xml:space="preserve">MVC</w:t>
      </w:r>
      <w:r>
        <w:rPr>
          <w:rFonts w:ascii="Arial" w:cs="Arial" w:eastAsia="Arial" w:hAnsi="Arial"/>
          <w:sz w:val="20"/>
          <w:szCs w:val="20"/>
        </w:rPr>
        <w:t xml:space="preserve"> opera </w:t>
      </w:r>
      <w:r>
        <w:rPr>
          <w:rFonts w:ascii="Arial" w:cs="Arial" w:eastAsia="Arial" w:hAnsi="Arial"/>
          <w:b/>
          <w:bCs/>
          <w:i/>
          <w:iCs/>
          <w:sz w:val="20"/>
          <w:szCs w:val="20"/>
        </w:rPr>
        <w:t xml:space="preserve">dentro</w:t>
      </w:r>
      <w:r>
        <w:rPr>
          <w:rFonts w:ascii="Arial" w:cs="Arial" w:eastAsia="Arial" w:hAnsi="Arial"/>
          <w:sz w:val="20"/>
          <w:szCs w:val="20"/>
        </w:rPr>
        <w:t xml:space="preserve"> de la capa de Presentación: el Modelo de presentación recibe datos del componente Core (capa de Negocio), el Controlador gestiona la navegación y la Vista genera el HTML para cada actor.</w:t>
      </w:r>
    </w:p>
    <w:p>
      <w:pPr>
        <w:spacing w:after="30" w:before="30"/>
      </w:pPr>
      <w:r>
        <w:rPr>
          <w:sz w:val="20"/>
          <w:szCs w:val="20"/>
        </w:rPr>
        <w:t xml:space="preserve"/>
      </w:r>
    </w:p>
    <w:p>
      <w:pPr>
        <w:spacing w:after="80" w:before="220"/>
      </w:pPr>
      <w:r>
        <w:rPr>
          <w:rFonts w:ascii="Arial" w:cs="Arial" w:eastAsia="Arial" w:hAnsi="Arial"/>
          <w:b/>
          <w:bCs/>
          <w:color w:val="2E5496"/>
          <w:sz w:val="22"/>
          <w:szCs w:val="22"/>
        </w:rPr>
        <w:t xml:space="preserve">3.2 Trade-off principal identificado</w:t>
      </w:r>
    </w:p>
    <w:p>
      <w:pPr>
        <w:spacing w:after="60" w:before="60"/>
        <w:jc w:val="both"/>
      </w:pPr>
      <w:r>
        <w:rPr>
          <w:rFonts w:ascii="Arial" w:cs="Arial" w:eastAsia="Arial" w:hAnsi="Arial"/>
          <w:b/>
          <w:bCs/>
          <w:color w:val="000000"/>
          <w:sz w:val="20"/>
          <w:szCs w:val="20"/>
        </w:rPr>
        <w:t xml:space="preserve">Mantenibilidad y seguridad a costa de overhead de rendimiento. </w:t>
      </w:r>
      <w:r>
        <w:rPr>
          <w:rFonts w:ascii="Arial" w:cs="Arial" w:eastAsia="Arial" w:hAnsi="Arial"/>
          <w:color w:val="000000"/>
          <w:sz w:val="20"/>
          <w:szCs w:val="20"/>
        </w:rPr>
        <w:t xml:space="preserve">La arquitectura de capas garantiza que ningún actor pueda acceder directamente a la base de datos (seguridad) y que cada módulo pueda ser modificado sin afectar a los otros (mantenibilidad). Sin embargo, cada solicitud del usuario debe atravesar Presentación → Negocio → Datos → Negocio → Presentación, lo que introduce latencia acumulada. Para el SASE, con carga esperada de usuarios concurrentes dentro de la red universitaria, este overhead es aceptable. Si el volumen de solicitudes simultáneas creciera significativamente, podría justificarse la incorporación de caché en la capa de negocio.</w:t>
      </w:r>
    </w:p>
    <w:p>
      <w:pPr>
        <w:spacing w:after="30" w:before="30"/>
      </w:pPr>
      <w:r>
        <w:rPr>
          <w:sz w:val="20"/>
          <w:szCs w:val="20"/>
        </w:rPr>
        <w:t xml:space="preserve"/>
      </w:r>
    </w:p>
    <w:p>
      <w:pPr>
        <w:spacing w:after="80" w:before="220"/>
      </w:pPr>
      <w:r>
        <w:rPr>
          <w:rFonts w:ascii="Arial" w:cs="Arial" w:eastAsia="Arial" w:hAnsi="Arial"/>
          <w:b/>
          <w:bCs/>
          <w:color w:val="2E5496"/>
          <w:sz w:val="22"/>
          <w:szCs w:val="22"/>
        </w:rPr>
        <w:t xml:space="preserve">3.3 Riesgo de deuda técnica arquitectónica</w:t>
      </w:r>
    </w:p>
    <w:p>
      <w:pPr>
        <w:spacing w:after="60" w:before="60"/>
        <w:jc w:val="both"/>
      </w:pPr>
      <w:r>
        <w:rPr>
          <w:rFonts w:ascii="Arial" w:cs="Arial" w:eastAsia="Arial" w:hAnsi="Arial"/>
          <w:b/>
          <w:bCs/>
          <w:color w:val="000000"/>
          <w:sz w:val="20"/>
          <w:szCs w:val="20"/>
        </w:rPr>
        <w:t xml:space="preserve">Riesgo: acoplamiento progresivo entre capas. </w:t>
      </w:r>
      <w:r>
        <w:rPr>
          <w:rFonts w:ascii="Arial" w:cs="Arial" w:eastAsia="Arial" w:hAnsi="Arial"/>
          <w:color w:val="000000"/>
          <w:sz w:val="20"/>
          <w:szCs w:val="20"/>
        </w:rPr>
        <w:t xml:space="preserve">Si durante el desarrollo el equipo, por simplicidad o por presión de tiempo, permite que la capa de Presentación acceda directamente a los repositorios (saltando la capa de Negocio), se generará deuda técnica arquitectónica: la separación de capas dejará de existir en la práctica aunque esté declarada en el diseño. El impacto es directo: la seguridad se debilitará (la capa de datos quedará expuesta) y la mantenibilidad se reducirá (un cambio en el esquema de BD afectará directamente a la interfaz). Para mitigar este riesgo, el equipo acordó que toda operación de persistencia debe canalizarse a través de los servicios del componente Core.</w:t>
      </w:r>
    </w:p>
    <w:p>
      <w:pPr>
        <w:spacing w:after="30" w:before="30"/>
      </w:pPr>
      <w:r>
        <w:rPr>
          <w:sz w:val="20"/>
          <w:szCs w:val="20"/>
        </w:rPr>
        <w:t xml:space="preserve"/>
      </w:r>
    </w:p>
    <w:p>
      <w:pPr>
        <w:spacing w:after="30" w:before="30"/>
      </w:pPr>
      <w:r>
        <w:rPr>
          <w:sz w:val="20"/>
          <w:szCs w:val="20"/>
        </w:rPr>
        <w:t xml:space="preserve"/>
      </w:r>
    </w:p>
    <w:p>
      <w:pPr>
        <w:spacing w:after="120" w:before="300"/>
      </w:pPr>
      <w:r>
        <w:rPr>
          <w:rFonts w:ascii="Arial" w:cs="Arial" w:eastAsia="Arial" w:hAnsi="Arial"/>
          <w:b/>
          <w:bCs/>
          <w:color w:val="1F3864"/>
          <w:sz w:val="28"/>
          <w:szCs w:val="28"/>
        </w:rPr>
        <w:t xml:space="preserve">4. Vistas Arquitectónicas</w:t>
      </w:r>
    </w:p>
    <w:p>
      <w:pPr>
        <w:spacing w:after="60" w:before="60"/>
        <w:jc w:val="both"/>
      </w:pPr>
      <w:r>
        <w:rPr>
          <w:rFonts w:ascii="Arial" w:cs="Arial" w:eastAsia="Arial" w:hAnsi="Arial"/>
          <w:color w:val="000000"/>
          <w:sz w:val="20"/>
          <w:szCs w:val="20"/>
        </w:rPr>
        <w:t xml:space="preserve">Se elaboran dos vistas del modelo 4+1 de Kruchten (1995): la vista lógica y la vista de desarrollo. Estas dos vistas son las más relevantes para el SASE dado que el sistema no tiene requisitos de procesamiento concurrente complejo ni despliegue en múltiples nodos físicos distintos.</w:t>
      </w:r>
    </w:p>
    <w:p>
      <w:pPr>
        <w:spacing w:after="30" w:before="30"/>
      </w:pPr>
      <w:r>
        <w:rPr>
          <w:sz w:val="20"/>
          <w:szCs w:val="20"/>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307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Vista (modelo 4+1)</w:t>
            </w:r>
          </w:p>
        </w:tc>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Audiencia</w:t>
            </w:r>
          </w:p>
        </w:tc>
        <w:tc>
          <w:tcPr>
            <w:tcW w:type="dxa" w:w="2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Notación UML</w:t>
            </w:r>
          </w:p>
        </w:tc>
        <w:tc>
          <w:tcPr>
            <w:tcW w:type="dxa" w:w="307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Qué muestra para el SASE</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Vista lógica</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Analistas, diseñadores, desarrolladores</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iCs/>
                <w:color w:val="000000"/>
                <w:sz w:val="17"/>
                <w:szCs w:val="17"/>
              </w:rPr>
              <w:t xml:space="preserve">Diagrama de paquetes UML — muestra las tres capas (Presentación, Negocio, Datos) y los componentes dentro de cada capa.</w:t>
            </w:r>
          </w:p>
        </w:tc>
        <w:tc>
          <w:tcPr>
            <w:tcW w:type="dxa" w:w="30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Presenta la organización lógica del SASE en tres paquetes: (1) Presentación: módulos de interfaz por actor (EstudianteUI, OperadorUI, UnidadUI, DirectorUI, AdminUI). (2) Negocio: SolicitudService, ClasificacionService, NotificacionService, ReporteService. (3) Datos: repositorios de Solicitud, Usuario, Notificacion. Los componentes son trazables a las clases del diagrama de clases de la Act. 2.2.</w:t>
            </w:r>
          </w:p>
        </w:tc>
      </w:tr>
      <w:tr>
        <w:tc>
          <w:tcPr>
            <w:tcW w:type="dxa" w:w="15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Vista de desarrollo</w:t>
            </w:r>
          </w:p>
        </w:tc>
        <w:tc>
          <w:tcPr>
            <w:tcW w:type="dxa" w:w="18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Desarrolladores y gerente de proyecto</w:t>
            </w:r>
          </w:p>
        </w:tc>
        <w:tc>
          <w:tcPr>
            <w:tcW w:type="dxa" w:w="27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iCs/>
                <w:color w:val="000000"/>
                <w:sz w:val="17"/>
                <w:szCs w:val="17"/>
              </w:rPr>
              <w:t xml:space="preserve">Diagrama de componentes UML — muestra los módulos del sistema, sus interfaces y dependencias.</w:t>
            </w:r>
          </w:p>
        </w:tc>
        <w:tc>
          <w:tcPr>
            <w:tcW w:type="dxa" w:w="30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Descompone el SASE en componentes implementables: componente Web (interfaz), componente Core (lógica de negocio con sus cuatro servicios), componente Notificador (integración con Correo Institucional), componente Repositorio (acceso a BD). Las dependencias entre componentes son coherentes con los flujos del diagrama de casos de uso (Act. 2.2) y con el diagrama de estados (el Notificador se activa en las transiciones que generan notificación).</w:t>
            </w:r>
          </w:p>
        </w:tc>
      </w:tr>
    </w:tbl>
    <w:p>
      <w:pPr>
        <w:spacing w:after="30" w:before="30"/>
      </w:pPr>
      <w:r>
        <w:rPr>
          <w:sz w:val="20"/>
          <w:szCs w:val="20"/>
        </w:rPr>
        <w:t xml:space="preserve"/>
      </w:r>
    </w:p>
    <w:p>
      <w:pPr>
        <w:spacing w:after="30" w:before="30"/>
      </w:pPr>
      <w:r>
        <w:rPr>
          <w:sz w:val="20"/>
          <w:szCs w:val="20"/>
        </w:rPr>
        <w:t xml:space="preserve"/>
      </w:r>
    </w:p>
    <w:p>
      <w:pPr>
        <w:spacing w:after="80" w:before="220"/>
      </w:pPr>
      <w:r>
        <w:rPr>
          <w:rFonts w:ascii="Arial" w:cs="Arial" w:eastAsia="Arial" w:hAnsi="Arial"/>
          <w:b/>
          <w:bCs/>
          <w:color w:val="2E5496"/>
          <w:sz w:val="22"/>
          <w:szCs w:val="22"/>
        </w:rPr>
        <w:t xml:space="preserve">4.1 Vista Lógica — Diagrama de Paquetes</w:t>
      </w:r>
    </w:p>
    <w:p>
      <w:pPr>
        <w:spacing w:after="60" w:before="60"/>
        <w:jc w:val="left"/>
      </w:pPr>
      <w:r>
        <w:rPr>
          <w:rFonts w:ascii="Arial" w:cs="Arial" w:eastAsia="Arial" w:hAnsi="Arial"/>
          <w:b/>
          <w:bCs/>
          <w:color w:val="000000"/>
          <w:sz w:val="20"/>
          <w:szCs w:val="20"/>
        </w:rPr>
        <w:t xml:space="preserve">Audiencia: </w:t>
      </w:r>
      <w:r>
        <w:rPr>
          <w:rFonts w:ascii="Arial" w:cs="Arial" w:eastAsia="Arial" w:hAnsi="Arial"/>
          <w:color w:val="000000"/>
          <w:sz w:val="20"/>
          <w:szCs w:val="20"/>
        </w:rPr>
        <w:t xml:space="preserve">analistas de requisitos, diseñadores y desarrolladores. Muestra qué abstracciones (paquetes y componentes) componen el SASE y cómo se organizan en tres capas.</w:t>
      </w:r>
    </w:p>
    <w:p>
      <w:pPr>
        <w:spacing w:after="30" w:before="30"/>
      </w:pPr>
      <w:r>
        <w:rPr>
          <w:sz w:val="20"/>
          <w:szCs w:val="20"/>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535"/>
        <w:gridCol w:w="3535"/>
      </w:tblGrid>
      <w:tr>
        <w:trPr>
          <w:tblHeader/>
        </w:trPr>
        <w:tc>
          <w:tcPr>
            <w:tcW w:type="dxa" w:w="2000"/>
            <w:tcBorders>
              <w:top w:val="single" w:color="BBBBBB" w:sz="4"/>
              <w:left w:val="single" w:color="BBBBBB" w:sz="4"/>
              <w:bottom w:val="single" w:color="BBBBBB" w:sz="4"/>
              <w:right w:val="single" w:color="BBBBBB" w:sz="4"/>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Paquete / Capa</w:t>
            </w:r>
          </w:p>
        </w:tc>
        <w:tc>
          <w:tcPr>
            <w:tcW w:type="dxa" w:w="3535"/>
            <w:tcBorders>
              <w:top w:val="single" w:color="BBBBBB" w:sz="4"/>
              <w:left w:val="single" w:color="BBBBBB" w:sz="4"/>
              <w:bottom w:val="single" w:color="BBBBBB" w:sz="4"/>
              <w:right w:val="single" w:color="BBBBBB" w:sz="4"/>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Componentes internos</w:t>
            </w:r>
          </w:p>
        </w:tc>
        <w:tc>
          <w:tcPr>
            <w:tcW w:type="dxa" w:w="3535"/>
            <w:tcBorders>
              <w:top w:val="single" w:color="BBBBBB" w:sz="4"/>
              <w:left w:val="single" w:color="BBBBBB" w:sz="4"/>
              <w:bottom w:val="single" w:color="BBBBBB" w:sz="4"/>
              <w:right w:val="single" w:color="BBBBBB" w:sz="4"/>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w:t>
            </w:r>
          </w:p>
        </w:tc>
      </w:tr>
      <w:tr>
        <w:tc>
          <w:tcPr>
            <w:tcW w:type="dxa" w:w="2000"/>
            <w:tcBorders>
              <w:top w:val="single" w:color="BBBBBB" w:sz="4"/>
              <w:left w:val="single" w:color="BBBBBB" w:sz="4"/>
              <w:bottom w:val="single" w:color="BBBBBB" w:sz="4"/>
              <w:right w:val="single" w:color="BBBBBB" w:sz="4"/>
            </w:tcBorders>
            <w:shd w:fill="E8F0FE"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8"/>
                <w:szCs w:val="18"/>
              </w:rPr>
              <w:t xml:space="preserve">«capa»
Presentación</w:t>
            </w:r>
          </w:p>
        </w:tc>
        <w:tc>
          <w:tcPr>
            <w:tcW w:type="dxa" w:w="3535"/>
            <w:tcBorders>
              <w:top w:val="single" w:color="BBBBBB" w:sz="4"/>
              <w:left w:val="single" w:color="BBBBBB" w:sz="4"/>
              <w:bottom w:val="single" w:color="BBBBBB" w:sz="4"/>
              <w:right w:val="single" w:color="BBBBBB" w:sz="4"/>
            </w:tcBorders>
            <w:shd w:fill="E8F0FE"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EstudianteUI — formulario de solicitud, historial</w:t>
            </w:r>
          </w:p>
          <w:p>
            <w:pPr>
              <w:spacing w:after="40" w:before="40"/>
              <w:jc w:val="both"/>
            </w:pPr>
            <w:r>
              <w:rPr>
                <w:rFonts w:ascii="Arial" w:cs="Arial" w:eastAsia="Arial" w:hAnsi="Arial"/>
                <w:b w:val="false"/>
                <w:bCs w:val="false"/>
                <w:i w:val="false"/>
                <w:iCs w:val="false"/>
                <w:color w:val="000000"/>
                <w:sz w:val="17"/>
                <w:szCs w:val="17"/>
              </w:rPr>
              <w:t xml:space="preserve">OperadorUI — panel de clasificación y enrutamiento</w:t>
            </w:r>
          </w:p>
          <w:p>
            <w:pPr>
              <w:spacing w:after="40" w:before="40"/>
              <w:jc w:val="both"/>
            </w:pPr>
            <w:r>
              <w:rPr>
                <w:rFonts w:ascii="Arial" w:cs="Arial" w:eastAsia="Arial" w:hAnsi="Arial"/>
                <w:b w:val="false"/>
                <w:bCs w:val="false"/>
                <w:i w:val="false"/>
                <w:iCs w:val="false"/>
                <w:color w:val="000000"/>
                <w:sz w:val="17"/>
                <w:szCs w:val="17"/>
              </w:rPr>
              <w:t xml:space="preserve">UnidadUI — panel de solicitudes asignadas</w:t>
            </w:r>
          </w:p>
          <w:p>
            <w:pPr>
              <w:spacing w:after="40" w:before="40"/>
              <w:jc w:val="both"/>
            </w:pPr>
            <w:r>
              <w:rPr>
                <w:rFonts w:ascii="Arial" w:cs="Arial" w:eastAsia="Arial" w:hAnsi="Arial"/>
                <w:b w:val="false"/>
                <w:bCs w:val="false"/>
                <w:i w:val="false"/>
                <w:iCs w:val="false"/>
                <w:color w:val="000000"/>
                <w:sz w:val="17"/>
                <w:szCs w:val="17"/>
              </w:rPr>
              <w:t xml:space="preserve">DirectorUI — módulo de reportes</w:t>
            </w:r>
          </w:p>
          <w:p>
            <w:pPr>
              <w:spacing w:after="40" w:before="40"/>
              <w:jc w:val="both"/>
            </w:pPr>
            <w:r>
              <w:rPr>
                <w:rFonts w:ascii="Arial" w:cs="Arial" w:eastAsia="Arial" w:hAnsi="Arial"/>
                <w:b w:val="false"/>
                <w:bCs w:val="false"/>
                <w:i w:val="false"/>
                <w:iCs w:val="false"/>
                <w:color w:val="000000"/>
                <w:sz w:val="17"/>
                <w:szCs w:val="17"/>
              </w:rPr>
              <w:t xml:space="preserve">AdminUI — gestión de usuarios y roles</w:t>
            </w:r>
          </w:p>
        </w:tc>
        <w:tc>
          <w:tcPr>
            <w:tcW w:type="dxa" w:w="3535"/>
            <w:tcBorders>
              <w:top w:val="single" w:color="BBBBBB" w:sz="4"/>
              <w:left w:val="single" w:color="BBBBBB" w:sz="4"/>
              <w:bottom w:val="single" w:color="BBBBBB" w:sz="4"/>
              <w:right w:val="single" w:color="BBBBBB" w:sz="4"/>
            </w:tcBorders>
            <w:shd w:fill="E8F0FE"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Interfaces de usuario para cada actor identificado en el diagrama de contexto (Act. 2.2). Cada UI corresponde a un actor del diagrama de casos de uso.</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8"/>
                <w:szCs w:val="18"/>
              </w:rPr>
              <w:t xml:space="preserve">«capa»
Negocio</w:t>
            </w:r>
          </w:p>
        </w:tc>
        <w:tc>
          <w:tcPr>
            <w:tcW w:type="dxa" w:w="3535"/>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SolicitudService — ciclo de vida completo de la Solicitud</w:t>
            </w:r>
          </w:p>
          <w:p>
            <w:pPr>
              <w:spacing w:after="40" w:before="40"/>
              <w:jc w:val="both"/>
            </w:pPr>
            <w:r>
              <w:rPr>
                <w:rFonts w:ascii="Arial" w:cs="Arial" w:eastAsia="Arial" w:hAnsi="Arial"/>
                <w:b w:val="false"/>
                <w:bCs w:val="false"/>
                <w:i w:val="false"/>
                <w:iCs w:val="false"/>
                <w:color w:val="000000"/>
                <w:sz w:val="17"/>
                <w:szCs w:val="17"/>
              </w:rPr>
              <w:t xml:space="preserve">ClasificacionService — enrutamiento y asignación de prioridad (HU04, HU05)</w:t>
            </w:r>
          </w:p>
          <w:p>
            <w:pPr>
              <w:spacing w:after="40" w:before="40"/>
              <w:jc w:val="both"/>
            </w:pPr>
            <w:r>
              <w:rPr>
                <w:rFonts w:ascii="Arial" w:cs="Arial" w:eastAsia="Arial" w:hAnsi="Arial"/>
                <w:b w:val="false"/>
                <w:bCs w:val="false"/>
                <w:i w:val="false"/>
                <w:iCs w:val="false"/>
                <w:color w:val="000000"/>
                <w:sz w:val="17"/>
                <w:szCs w:val="17"/>
              </w:rPr>
              <w:t xml:space="preserve">NotificacionService — integración con Correo Institucional</w:t>
            </w:r>
          </w:p>
          <w:p>
            <w:pPr>
              <w:spacing w:after="40" w:before="40"/>
              <w:jc w:val="both"/>
            </w:pPr>
            <w:r>
              <w:rPr>
                <w:rFonts w:ascii="Arial" w:cs="Arial" w:eastAsia="Arial" w:hAnsi="Arial"/>
                <w:b w:val="false"/>
                <w:bCs w:val="false"/>
                <w:i w:val="false"/>
                <w:iCs w:val="false"/>
                <w:color w:val="000000"/>
                <w:sz w:val="17"/>
                <w:szCs w:val="17"/>
              </w:rPr>
              <w:t xml:space="preserve">ReporteService — generación de reportes filtrables (HU09)</w:t>
            </w:r>
          </w:p>
        </w:tc>
        <w:tc>
          <w:tcPr>
            <w:tcW w:type="dxa" w:w="3535"/>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Lógica de negocio central. Los cuatro servicios corresponden a las cuatro épicas del backlog (Act. 1.3). SolicitudService implementa el ciclo de vida modelado en el diagrama de estados (Act. 2.2).</w:t>
            </w:r>
          </w:p>
        </w:tc>
      </w:tr>
      <w:tr>
        <w:tc>
          <w:tcPr>
            <w:tcW w:type="dxa" w:w="20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8"/>
                <w:szCs w:val="18"/>
              </w:rPr>
              <w:t xml:space="preserve">«capa»
Datos</w:t>
            </w:r>
          </w:p>
        </w:tc>
        <w:tc>
          <w:tcPr>
            <w:tcW w:type="dxa" w:w="3535"/>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SolicitudRepository — CRUD de Solicitud y DetalleSolicitud</w:t>
            </w:r>
          </w:p>
          <w:p>
            <w:pPr>
              <w:spacing w:after="40" w:before="40"/>
              <w:jc w:val="both"/>
            </w:pPr>
            <w:r>
              <w:rPr>
                <w:rFonts w:ascii="Arial" w:cs="Arial" w:eastAsia="Arial" w:hAnsi="Arial"/>
                <w:b w:val="false"/>
                <w:bCs w:val="false"/>
                <w:i w:val="false"/>
                <w:iCs w:val="false"/>
                <w:color w:val="000000"/>
                <w:sz w:val="17"/>
                <w:szCs w:val="17"/>
              </w:rPr>
              <w:t xml:space="preserve">UsuarioRepository — CRUD de Usuario y subclases</w:t>
            </w:r>
          </w:p>
          <w:p>
            <w:pPr>
              <w:spacing w:after="40" w:before="40"/>
              <w:jc w:val="both"/>
            </w:pPr>
            <w:r>
              <w:rPr>
                <w:rFonts w:ascii="Arial" w:cs="Arial" w:eastAsia="Arial" w:hAnsi="Arial"/>
                <w:b w:val="false"/>
                <w:bCs w:val="false"/>
                <w:i w:val="false"/>
                <w:iCs w:val="false"/>
                <w:color w:val="000000"/>
                <w:sz w:val="17"/>
                <w:szCs w:val="17"/>
              </w:rPr>
              <w:t xml:space="preserve">NotificacionRepository — registro de notificaciones enviadas</w:t>
            </w:r>
          </w:p>
        </w:tc>
        <w:tc>
          <w:tcPr>
            <w:tcW w:type="dxa" w:w="3535"/>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Persistencia. Las entidades del repositorio corresponden exactamente a las clases del diagrama de clases de la Act. 2.2: Solicitud, DetalleSolicitud, Usuario (con subclases Estudiante, Operador, PersonalUnidad) y Notificacion.</w:t>
            </w:r>
          </w:p>
        </w:tc>
      </w:tr>
    </w:tbl>
    <w:p>
      <w:pPr>
        <w:spacing w:after="30" w:before="30"/>
      </w:pPr>
      <w:r>
        <w:rPr>
          <w:sz w:val="20"/>
          <w:szCs w:val="20"/>
        </w:rPr>
        <w:t xml:space="preserve"/>
      </w:r>
    </w:p>
    <w:p>
      <w:pPr>
        <w:spacing w:after="60" w:before="60"/>
      </w:pPr>
      <w:r>
        <w:rPr>
          <w:rFonts w:ascii="Arial" w:cs="Arial" w:eastAsia="Arial" w:hAnsi="Arial"/>
          <w:b/>
          <w:bCs/>
          <w:i/>
          <w:iCs/>
          <w:color w:val="555555"/>
          <w:sz w:val="19"/>
          <w:szCs w:val="19"/>
        </w:rPr>
        <w:t xml:space="preserve">Nota: </w:t>
      </w:r>
      <w:r>
        <w:rPr>
          <w:rFonts w:ascii="Arial" w:cs="Arial" w:eastAsia="Arial" w:hAnsi="Arial"/>
          <w:i/>
          <w:iCs/>
          <w:color w:val="555555"/>
          <w:sz w:val="19"/>
          <w:szCs w:val="19"/>
        </w:rPr>
        <w:t xml:space="preserve">En la implementación real, este diagrama se representaría como un diagrama de paquetes UML con tres paquetes anidados (Presentación, Negocio, Datos) y las dependencias entre ellos indicadas con flechas de uso («use»). Los paquetes y sus componentes son consistentes con las clases identificadas en el diagrama de clases de la Actividad 2.2.</w:t>
      </w:r>
    </w:p>
    <w:p>
      <w:pPr>
        <w:spacing w:after="30" w:before="30"/>
      </w:pPr>
      <w:r>
        <w:rPr>
          <w:sz w:val="20"/>
          <w:szCs w:val="20"/>
        </w:rPr>
        <w:t xml:space="preserve"/>
      </w:r>
    </w:p>
    <w:p>
      <w:pPr>
        <w:spacing w:after="30" w:before="30"/>
      </w:pPr>
      <w:r>
        <w:rPr>
          <w:sz w:val="20"/>
          <w:szCs w:val="20"/>
        </w:rPr>
        <w:t xml:space="preserve"/>
      </w:r>
    </w:p>
    <w:p>
      <w:pPr>
        <w:spacing w:after="80" w:before="220"/>
      </w:pPr>
      <w:r>
        <w:rPr>
          <w:rFonts w:ascii="Arial" w:cs="Arial" w:eastAsia="Arial" w:hAnsi="Arial"/>
          <w:b/>
          <w:bCs/>
          <w:color w:val="2E5496"/>
          <w:sz w:val="22"/>
          <w:szCs w:val="22"/>
        </w:rPr>
        <w:t xml:space="preserve">4.2 Vista de Desarrollo — Diagrama de Componentes</w:t>
      </w:r>
    </w:p>
    <w:p>
      <w:pPr>
        <w:spacing w:after="60" w:before="60"/>
        <w:jc w:val="left"/>
      </w:pPr>
      <w:r>
        <w:rPr>
          <w:rFonts w:ascii="Arial" w:cs="Arial" w:eastAsia="Arial" w:hAnsi="Arial"/>
          <w:b/>
          <w:bCs/>
          <w:color w:val="000000"/>
          <w:sz w:val="20"/>
          <w:szCs w:val="20"/>
        </w:rPr>
        <w:t xml:space="preserve">Audiencia: </w:t>
      </w:r>
      <w:r>
        <w:rPr>
          <w:rFonts w:ascii="Arial" w:cs="Arial" w:eastAsia="Arial" w:hAnsi="Arial"/>
          <w:color w:val="000000"/>
          <w:sz w:val="20"/>
          <w:szCs w:val="20"/>
        </w:rPr>
        <w:t xml:space="preserve">desarrolladores y gerente de proyecto. Muestra cómo se organiza el código del SASE en componentes implementables, sus interfaces y sus dependencias.</w:t>
      </w:r>
    </w:p>
    <w:p>
      <w:pPr>
        <w:spacing w:after="30" w:before="30"/>
      </w:pPr>
      <w:r>
        <w:rPr>
          <w:sz w:val="20"/>
          <w:szCs w:val="20"/>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70"/>
      </w:tblGrid>
      <w:tr>
        <w:trPr>
          <w:tblHeader/>
        </w:trPr>
        <w:tc>
          <w:tcPr>
            <w:tcW w:type="dxa" w:w="2000"/>
            <w:tcBorders>
              <w:top w:val="single" w:color="BBBBBB" w:sz="4"/>
              <w:left w:val="single" w:color="BBBBBB" w:sz="4"/>
              <w:bottom w:val="single" w:color="BBBBBB" w:sz="4"/>
              <w:right w:val="single" w:color="BBBBBB" w:sz="4"/>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2800"/>
            <w:tcBorders>
              <w:top w:val="single" w:color="BBBBBB" w:sz="4"/>
              <w:left w:val="single" w:color="BBBBBB" w:sz="4"/>
              <w:bottom w:val="single" w:color="BBBBBB" w:sz="4"/>
              <w:right w:val="single" w:color="BBBBBB" w:sz="4"/>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Interfaces provistas / requeridas</w:t>
            </w:r>
          </w:p>
        </w:tc>
        <w:tc>
          <w:tcPr>
            <w:tcW w:type="dxa" w:w="4270"/>
            <w:tcBorders>
              <w:top w:val="single" w:color="BBBBBB" w:sz="4"/>
              <w:left w:val="single" w:color="BBBBBB" w:sz="4"/>
              <w:bottom w:val="single" w:color="BBBBBB" w:sz="4"/>
              <w:right w:val="single" w:color="BBBBBB" w:sz="4"/>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Dependencias y trazabilidad con Act. 2.2</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«component»
Web
(Interfaz de usuario)</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iCs/>
                <w:color w:val="000000"/>
                <w:sz w:val="17"/>
                <w:szCs w:val="17"/>
              </w:rPr>
              <w:t xml:space="preserve">Provee: UI por actor (EstudianteUI, OperadorUI, UnidadUI, DirectorUI, AdminUI)
Requiere: ICore (interfaz del componente Core)</w:t>
            </w:r>
          </w:p>
        </w:tc>
        <w:tc>
          <w:tcPr>
            <w:tcW w:type="dxa" w:w="42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Consume los servicios del componente Core a través de la interfaz ICore. Cada módulo UI corresponde a un actor del diagrama de contexto (Act. 2.2). La navegación entre pantallas del OperadorUI sigue el flujo HU04 del diagrama de casos de uso.</w:t>
            </w:r>
          </w:p>
        </w:tc>
      </w:tr>
      <w:tr>
        <w:tc>
          <w:tcPr>
            <w:tcW w:type="dxa" w:w="20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«component»
Core
(Lógica de negocio)</w:t>
            </w:r>
          </w:p>
        </w:tc>
        <w:tc>
          <w:tcPr>
            <w:tcW w:type="dxa" w:w="28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iCs/>
                <w:color w:val="000000"/>
                <w:sz w:val="17"/>
                <w:szCs w:val="17"/>
              </w:rPr>
              <w:t xml:space="preserve">Provee: ICore (operaciones de negocio)
Requiere: IRepositorio (acceso a BD), INotificador (envío de notificaciones)</w:t>
            </w:r>
          </w:p>
        </w:tc>
        <w:tc>
          <w:tcPr>
            <w:tcW w:type="dxa" w:w="42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Implementa los cuatro servicios del paquete Negocio. SolicitudService ejecuta las transiciones del diagrama de estados (Act. 2.2): al llamar a cambiarEstado(), evalúa la transición válida y delega al NotificacionService cuando corresponde.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«component»
Notificador
(Integración correo)</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iCs/>
                <w:color w:val="000000"/>
                <w:sz w:val="17"/>
                <w:szCs w:val="17"/>
              </w:rPr>
              <w:t xml:space="preserve">Provee: INotificador (envío de notificaciones)
Requiere: API Correo Institucional UAC</w:t>
            </w:r>
          </w:p>
        </w:tc>
        <w:tc>
          <w:tcPr>
            <w:tcW w:type="dxa" w:w="42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Se activa desde SolicitudService cuando una transición de estado genera notificación (definido en diagrama de estados, Act. 2.2: transiciones a En Proceso, Resuelta y Redirigida). Corresponde a la integración con el sistema externo Correo Institucional del diagrama de contexto.</w:t>
            </w:r>
          </w:p>
        </w:tc>
      </w:tr>
      <w:tr>
        <w:tc>
          <w:tcPr>
            <w:tcW w:type="dxa" w:w="20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«component»
Repositorio
(Acceso a datos)</w:t>
            </w:r>
          </w:p>
        </w:tc>
        <w:tc>
          <w:tcPr>
            <w:tcW w:type="dxa" w:w="28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iCs/>
                <w:color w:val="000000"/>
                <w:sz w:val="17"/>
                <w:szCs w:val="17"/>
              </w:rPr>
              <w:t xml:space="preserve">Provee: IRepositorio (operaciones CRUD)
Requiere: Base de datos relacional</w:t>
            </w:r>
          </w:p>
        </w:tc>
        <w:tc>
          <w:tcPr>
            <w:tcW w:type="dxa" w:w="42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Implementa los tres repositorios del paquete Datos. Las entidades gestionadas (Solicitud, DetalleSolicitud, Usuario, Notificacion) son las mismas clases del diagrama de clases (Act. 2.2) con sus atributos y multiplicidades.</w:t>
            </w:r>
          </w:p>
        </w:tc>
      </w:tr>
    </w:tbl>
    <w:p>
      <w:pPr>
        <w:spacing w:after="30" w:before="30"/>
      </w:pPr>
      <w:r>
        <w:rPr>
          <w:sz w:val="20"/>
          <w:szCs w:val="20"/>
        </w:rPr>
        <w:t xml:space="preserve"/>
      </w:r>
    </w:p>
    <w:p>
      <w:pPr>
        <w:spacing w:after="60" w:before="60"/>
      </w:pPr>
      <w:r>
        <w:rPr>
          <w:rFonts w:ascii="Arial" w:cs="Arial" w:eastAsia="Arial" w:hAnsi="Arial"/>
          <w:b/>
          <w:bCs/>
          <w:i/>
          <w:iCs/>
          <w:color w:val="555555"/>
          <w:sz w:val="19"/>
          <w:szCs w:val="19"/>
        </w:rPr>
        <w:t xml:space="preserve">Nota: </w:t>
      </w:r>
      <w:r>
        <w:rPr>
          <w:rFonts w:ascii="Arial" w:cs="Arial" w:eastAsia="Arial" w:hAnsi="Arial"/>
          <w:i/>
          <w:iCs/>
          <w:color w:val="555555"/>
          <w:sz w:val="19"/>
          <w:szCs w:val="19"/>
        </w:rPr>
        <w:t xml:space="preserve">En la implementación real, este diagrama se representaría como un diagrama de componentes UML con cuatro componentes (Web, Core, Notificador, Repositorio), sus interfaces provistas (lollipop) y requeridas (socket), y las dependencias entre ellos. La activación del componente Notificador corresponde exactamente a las transiciones que generan notificación en el diagrama de estados de la Actividad 2.2.</w:t>
      </w:r>
    </w:p>
    <w:p>
      <w:pPr>
        <w:spacing w:after="30" w:before="30"/>
      </w:pPr>
      <w:r>
        <w:rPr>
          <w:sz w:val="20"/>
          <w:szCs w:val="20"/>
        </w:rPr>
        <w:t xml:space="preserve"/>
      </w:r>
    </w:p>
    <w:p>
      <w:pPr>
        <w:spacing w:after="30" w:before="30"/>
      </w:pPr>
      <w:r>
        <w:rPr>
          <w:sz w:val="20"/>
          <w:szCs w:val="20"/>
        </w:rPr>
        <w:t xml:space="preserve"/>
      </w:r>
    </w:p>
    <w:p>
      <w:pPr>
        <w:spacing w:after="120" w:before="300"/>
      </w:pPr>
      <w:r>
        <w:rPr>
          <w:rFonts w:ascii="Arial" w:cs="Arial" w:eastAsia="Arial" w:hAnsi="Arial"/>
          <w:b/>
          <w:bCs/>
          <w:color w:val="1F3864"/>
          <w:sz w:val="28"/>
          <w:szCs w:val="28"/>
        </w:rPr>
        <w:t xml:space="preserve">5. Análisis de Consistencia con Entregables Previos</w:t>
      </w:r>
    </w:p>
    <w:p>
      <w:pPr>
        <w:spacing w:after="60" w:before="60"/>
        <w:jc w:val="both"/>
      </w:pPr>
      <w:r>
        <w:rPr>
          <w:rFonts w:ascii="Arial" w:cs="Arial" w:eastAsia="Arial" w:hAnsi="Arial"/>
          <w:color w:val="000000"/>
          <w:sz w:val="20"/>
          <w:szCs w:val="20"/>
        </w:rPr>
        <w:t xml:space="preserve">El documento de diseño arquitectónico es legible como continuación directa de los modelos de la Actividad 2.2 y de la especificación de requisitos de la Actividad 2.1. Los puntos de consistencia verificados son los siguientes:</w:t>
      </w:r>
    </w:p>
    <w:p>
      <w:pPr>
        <w:spacing w:after="30" w:before="30"/>
      </w:pPr>
      <w:r>
        <w:rPr>
          <w:sz w:val="20"/>
          <w:szCs w:val="20"/>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Punto de consistencia</w:t>
            </w:r>
          </w:p>
        </w:tc>
        <w:tc>
          <w:tcPr>
            <w:tcW w:type="dxa" w:w="657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Verificación</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Decisiones arq. ↔ Act. 2.1 (RNF)</w:t>
            </w:r>
          </w:p>
        </w:tc>
        <w:tc>
          <w:tcPr>
            <w:tcW w:type="dxa" w:w="65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Las ocho decisiones documentadas vinculan explícitamente los RNF del sistema: la elección de arquitectura de capas responde a mantenibilidad y seguridad; la centralización del servidor responde a disponibilidad; la descomposición en cuatro servicios de negocio responde a los RNF de rendimiento en el flujo de clasificación y notificación.</w:t>
            </w:r>
          </w:p>
        </w:tc>
      </w:tr>
      <w:tr>
        <w:tc>
          <w:tcPr>
            <w:tcW w:type="dxa" w:w="25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Patrones ↔ Act. 2.2 (modelos)</w:t>
            </w:r>
          </w:p>
        </w:tc>
        <w:tc>
          <w:tcPr>
            <w:tcW w:type="dxa" w:w="65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El patrón de capas se refleja directamente en la vista lógica (paquetes). El patrón MVC organiza la capa de presentación con los cinco módulos UI que corresponden a los cinco actores del diagrama de contexto (Act. 2.2). La descomposición de servicios en la capa de negocio es coherente con las cuatro épicas del diagrama de casos de uso.</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Vista lógica ↔ Diagrama de clases (Act. 2.2)</w:t>
            </w:r>
          </w:p>
        </w:tc>
        <w:tc>
          <w:tcPr>
            <w:tcW w:type="dxa" w:w="65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Los repositorios del paquete Datos (SolicitudRepository, UsuarioRepository, NotificacionRepository) gestionan exactamente las clases identificadas en el diagrama de clases: Solicitud, DetalleSolicitud, Usuario (con subclases Estudiante, Operador, PersonalUnidad) y Notificacion. No se agrega ni elimina ninguna entidad.</w:t>
            </w:r>
          </w:p>
        </w:tc>
      </w:tr>
      <w:tr>
        <w:tc>
          <w:tcPr>
            <w:tcW w:type="dxa" w:w="250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Vista de desarrollo ↔ Diagrama de estados (Act. 2.2)</w:t>
            </w:r>
          </w:p>
        </w:tc>
        <w:tc>
          <w:tcPr>
            <w:tcW w:type="dxa" w:w="6570"/>
            <w:tcBorders>
              <w:top w:val="single" w:color="BBBBBB" w:sz="4"/>
              <w:left w:val="single" w:color="BBBBBB" w:sz="4"/>
              <w:bottom w:val="single" w:color="BBBBBB" w:sz="4"/>
              <w:right w:val="single" w:color="BBBBBB" w:sz="4"/>
            </w:tcBorders>
            <w:shd w:fill="EEF3FA"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El componente Notificador se activa únicamente en las transiciones que generan notificación, tal como está modelado en el diagrama de estados: En Clasificación → En Proceso, En Proceso → Resuelta, y Redirigida. El componente Core (SolicitudService) implementa el método cambiarEstado() identificado en el diagrama de clases.</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bCs/>
                <w:i w:val="false"/>
                <w:iCs w:val="false"/>
                <w:color w:val="000000"/>
                <w:sz w:val="17"/>
                <w:szCs w:val="17"/>
              </w:rPr>
              <w:t xml:space="preserve">Componentes ↔ Backlog (Act. 1.3)</w:t>
            </w:r>
          </w:p>
        </w:tc>
        <w:tc>
          <w:tcPr>
            <w:tcW w:type="dxa" w:w="657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40" w:before="40"/>
              <w:jc w:val="both"/>
            </w:pPr>
            <w:r>
              <w:rPr>
                <w:rFonts w:ascii="Arial" w:cs="Arial" w:eastAsia="Arial" w:hAnsi="Arial"/>
                <w:b w:val="false"/>
                <w:bCs w:val="false"/>
                <w:i w:val="false"/>
                <w:iCs w:val="false"/>
                <w:color w:val="000000"/>
                <w:sz w:val="17"/>
                <w:szCs w:val="17"/>
              </w:rPr>
              <w:t xml:space="preserve">Los cuatro servicios del componente Core corresponden a las cuatro épicas: SolicitudService → Épica 1 (Gestión de Solicitudes, HU01-HU03), ClasificacionService → Épica 2 (Clasificación y Enrutamiento, HU04-HU05), NotificacionService + SolicitudService → Épica 3 (Atención, HU06-HU08), ReporteService → Épica 4 (Administración y Reportes, HU09-HU10).</w:t>
            </w:r>
          </w:p>
        </w:tc>
      </w:tr>
    </w:tbl>
    <w:p>
      <w:pPr>
        <w:spacing w:after="30" w:before="30"/>
      </w:pPr>
      <w:r>
        <w:rPr>
          <w:sz w:val="20"/>
          <w:szCs w:val="20"/>
        </w:rPr>
        <w:t xml:space="preserve"/>
      </w:r>
    </w:p>
    <w:p>
      <w:pPr>
        <w:spacing w:after="30" w:before="30"/>
      </w:pPr>
      <w:r>
        <w:rPr>
          <w:sz w:val="20"/>
          <w:szCs w:val="20"/>
        </w:rPr>
        <w:t xml:space="preserve"/>
      </w:r>
    </w:p>
    <w:p>
      <w:pPr>
        <w:spacing w:after="120" w:before="300"/>
      </w:pPr>
      <w:r>
        <w:rPr>
          <w:rFonts w:ascii="Arial" w:cs="Arial" w:eastAsia="Arial" w:hAnsi="Arial"/>
          <w:b/>
          <w:bCs/>
          <w:color w:val="1F3864"/>
          <w:sz w:val="28"/>
          <w:szCs w:val="28"/>
        </w:rPr>
        <w:t xml:space="preserve">6. Conclusiones</w:t>
      </w:r>
    </w:p>
    <w:p>
      <w:pPr>
        <w:spacing w:after="60" w:before="60"/>
        <w:jc w:val="both"/>
      </w:pPr>
      <w:r>
        <w:rPr>
          <w:rFonts w:ascii="Arial" w:cs="Arial" w:eastAsia="Arial" w:hAnsi="Arial"/>
          <w:b/>
          <w:bCs/>
          <w:color w:val="000000"/>
          <w:sz w:val="20"/>
          <w:szCs w:val="20"/>
        </w:rPr>
        <w:t xml:space="preserve">Trade-off arquitectónico principal. </w:t>
      </w:r>
      <w:r>
        <w:rPr>
          <w:rFonts w:ascii="Arial" w:cs="Arial" w:eastAsia="Arial" w:hAnsi="Arial"/>
          <w:color w:val="000000"/>
          <w:sz w:val="20"/>
          <w:szCs w:val="20"/>
        </w:rPr>
        <w:t xml:space="preserve">La arquitectura de capas con MVC en presentación garantiza mantenibilidad y seguridad a costa de overhead de rendimiento en cada transacción. Para el contexto de uso del SASE (red universitaria, carga moderada de usuarios concurrentes), este trade-off es aceptable y los beneficios de la separación de responsabilidades superan el costo en latencia.</w:t>
      </w:r>
    </w:p>
    <w:p>
      <w:pPr>
        <w:spacing w:after="60" w:before="60"/>
        <w:jc w:val="both"/>
      </w:pPr>
      <w:r>
        <w:rPr>
          <w:rFonts w:ascii="Arial" w:cs="Arial" w:eastAsia="Arial" w:hAnsi="Arial"/>
          <w:b/>
          <w:bCs/>
          <w:color w:val="000000"/>
          <w:sz w:val="20"/>
          <w:szCs w:val="20"/>
        </w:rPr>
        <w:t xml:space="preserve">Riesgo principal de deuda técnica. </w:t>
      </w:r>
      <w:r>
        <w:rPr>
          <w:rFonts w:ascii="Arial" w:cs="Arial" w:eastAsia="Arial" w:hAnsi="Arial"/>
          <w:color w:val="000000"/>
          <w:sz w:val="20"/>
          <w:szCs w:val="20"/>
        </w:rPr>
        <w:t xml:space="preserve">El acoplamiento progresivo entre capas: si el equipo permite durante el desarrollo que la capa de Presentación acceda directamente a los repositorios, la separación de capas dejará de existir en la práctica. El impacto es la reducción de seguridad (capa de datos expuesta) y de mantenibilidad (cambios en BD afectan directamente a la interfaz). La mitigación acordada es canalizar toda operación de persistencia a través de los servicios del componente Core.</w:t>
      </w:r>
    </w:p>
    <w:p>
      <w:pPr>
        <w:spacing w:after="60" w:before="60"/>
        <w:jc w:val="both"/>
      </w:pPr>
      <w:r>
        <w:rPr>
          <w:rFonts w:ascii="Arial" w:cs="Arial" w:eastAsia="Arial" w:hAnsi="Arial"/>
          <w:b/>
          <w:bCs/>
          <w:color w:val="000000"/>
          <w:sz w:val="20"/>
          <w:szCs w:val="20"/>
        </w:rPr>
        <w:t xml:space="preserve">Coherencia con los entregables previos. </w:t>
      </w:r>
      <w:r>
        <w:rPr>
          <w:rFonts w:ascii="Arial" w:cs="Arial" w:eastAsia="Arial" w:hAnsi="Arial"/>
          <w:color w:val="000000"/>
          <w:sz w:val="20"/>
          <w:szCs w:val="20"/>
        </w:rPr>
        <w:t xml:space="preserve">Las vistas arquitectónicas son trazables a los modelos de la Actividad 2.2: los componentes de la vista lógica corresponden a las clases del diagrama de clases; los flujos del componente Notificador corresponden a las transiciones del diagrama de estados; los módulos de la capa de Presentación corresponden a los actores del diagrama de contexto y de casos de uso.</w:t>
      </w:r>
    </w:p>
    <w:p>
      <w:pPr>
        <w:spacing w:after="30" w:before="30"/>
      </w:pPr>
      <w:r>
        <w:rPr>
          <w:sz w:val="20"/>
          <w:szCs w:val="20"/>
        </w:rPr>
        <w:t xml:space="preserve"/>
      </w:r>
    </w:p>
    <w:p>
      <w:pPr>
        <w:spacing w:after="30" w:before="30"/>
      </w:pPr>
      <w:r>
        <w:rPr>
          <w:sz w:val="20"/>
          <w:szCs w:val="20"/>
        </w:rPr>
        <w:t xml:space="preserve"/>
      </w:r>
    </w:p>
    <w:p>
      <w:pPr>
        <w:spacing w:after="120" w:before="300"/>
      </w:pPr>
      <w:r>
        <w:rPr>
          <w:rFonts w:ascii="Arial" w:cs="Arial" w:eastAsia="Arial" w:hAnsi="Arial"/>
          <w:b/>
          <w:bCs/>
          <w:color w:val="1F3864"/>
          <w:sz w:val="28"/>
          <w:szCs w:val="28"/>
        </w:rPr>
        <w:t xml:space="preserve">Referencias bibliográficas</w:t>
      </w:r>
    </w:p>
    <w:p>
      <w:pPr>
        <w:spacing w:after="40" w:before="60"/>
        <w:ind w:left="720" w:hanging="720"/>
      </w:pPr>
      <w:r>
        <w:rPr>
          <w:rFonts w:ascii="Arial" w:cs="Arial" w:eastAsia="Arial" w:hAnsi="Arial"/>
          <w:sz w:val="18"/>
          <w:szCs w:val="18"/>
        </w:rPr>
        <w:t xml:space="preserve">Equipo Delta. SIS021_Act1-3_EquipoDelta_2026I.pdf — Backlog de Producto: Sistema de Atención a Estudiantes (SASE). Actividad 1.3, Unidad I. Ingeniería de Software — SIS021, Universidad Andina del Cusco, 2026-I.</w:t>
      </w:r>
    </w:p>
    <w:p>
      <w:pPr>
        <w:spacing w:after="40" w:before="60"/>
        <w:ind w:left="720" w:hanging="720"/>
      </w:pPr>
      <w:r>
        <w:rPr>
          <w:rFonts w:ascii="Arial" w:cs="Arial" w:eastAsia="Arial" w:hAnsi="Arial"/>
          <w:sz w:val="18"/>
          <w:szCs w:val="18"/>
        </w:rPr>
        <w:t xml:space="preserve">Equipo Delta. SIS021_Act2-1_EquipoDelta_2026I.pdf — Documento de Especificación de Requisitos: SASE. Actividad 2.1, Unidad II. Ingeniería de Software — SIS021, Universidad Andina del Cusco, 2026-I.</w:t>
      </w:r>
    </w:p>
    <w:p>
      <w:pPr>
        <w:spacing w:after="40" w:before="60"/>
        <w:ind w:left="720" w:hanging="720"/>
      </w:pPr>
      <w:r>
        <w:rPr>
          <w:rFonts w:ascii="Arial" w:cs="Arial" w:eastAsia="Arial" w:hAnsi="Arial"/>
          <w:sz w:val="18"/>
          <w:szCs w:val="18"/>
        </w:rPr>
        <w:t xml:space="preserve">Equipo Delta. SIS021_Act2-2_EquipoDelta_2026I.pdf — Modelos UML del Sistema SASE. Actividad 2.2, Unidad II. Ingeniería de Software — SIS021, Universidad Andina del Cusco, 2026-I.</w:t>
      </w:r>
    </w:p>
    <w:p>
      <w:pPr>
        <w:spacing w:after="40" w:before="60"/>
        <w:ind w:left="720" w:hanging="720"/>
      </w:pPr>
      <w:r>
        <w:rPr>
          <w:rFonts w:ascii="Arial" w:cs="Arial" w:eastAsia="Arial" w:hAnsi="Arial"/>
          <w:sz w:val="18"/>
          <w:szCs w:val="18"/>
        </w:rPr>
        <w:t xml:space="preserve">IEEE Computer Society. (2024). Guide to the Software Engineering Body of Knowledge (SWEBOK Guide) v4.0. IEEE Computer Society. https://www.computer.org/education/bodies-of-knowledge/software-engineering</w:t>
      </w:r>
    </w:p>
    <w:p>
      <w:pPr>
        <w:spacing w:after="40" w:before="60"/>
        <w:ind w:left="720" w:hanging="720"/>
      </w:pPr>
      <w:r>
        <w:rPr>
          <w:rFonts w:ascii="Arial" w:cs="Arial" w:eastAsia="Arial" w:hAnsi="Arial"/>
          <w:sz w:val="18"/>
          <w:szCs w:val="18"/>
        </w:rPr>
        <w:t xml:space="preserve">Kruchten, P. (1995). The 4+1 view model of architecture. IEEE Software, 12(6), 42–50.</w:t>
      </w:r>
    </w:p>
    <w:p>
      <w:pPr>
        <w:spacing w:after="40" w:before="60"/>
        <w:ind w:left="720" w:hanging="720"/>
      </w:pPr>
      <w:r>
        <w:rPr>
          <w:rFonts w:ascii="Arial" w:cs="Arial" w:eastAsia="Arial" w:hAnsi="Arial"/>
          <w:sz w:val="18"/>
          <w:szCs w:val="18"/>
        </w:rPr>
        <w:t xml:space="preserve">Object Management Group. (2017). Unified Modeling Language (UML), Version 2.5.1. https://www.omg.org/spec/UML/</w:t>
      </w:r>
    </w:p>
    <w:p>
      <w:pPr>
        <w:spacing w:after="40" w:before="60"/>
        <w:ind w:left="720" w:hanging="720"/>
      </w:pPr>
      <w:r>
        <w:rPr>
          <w:rFonts w:ascii="Arial" w:cs="Arial" w:eastAsia="Arial" w:hAnsi="Arial"/>
          <w:sz w:val="18"/>
          <w:szCs w:val="18"/>
        </w:rPr>
        <w:t xml:space="preserve">Sommerville, I. (2016). Software Engineering (10.ª ed.). Pearson. Capítulos 6 (§6.1–6.4) y 17 (§17.1).</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2026-05-08T00:02:42.314Z</dcterms:created>
  <dcterms:modified xsi:type="dcterms:W3CDTF">2026-05-08T00:02:42.330Z</dcterms:modified>
</cp:coreProperties>
</file>

<file path=docProps/custom.xml><?xml version="1.0" encoding="utf-8"?>
<Properties xmlns="http://schemas.openxmlformats.org/officeDocument/2006/custom-properties" xmlns:vt="http://schemas.openxmlformats.org/officeDocument/2006/docPropsVTypes"/>
</file>