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Modelos procesos de negocio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Agregar las imágenes de los procesos de negocio TO-BE de la solución propuesta.</w:t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Is:</w:t>
      </w:r>
    </w:p>
    <w:p w:rsidR="00000000" w:rsidDel="00000000" w:rsidP="00000000" w:rsidRDefault="00000000" w:rsidRPr="00000000" w14:paraId="0000000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1917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2628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1841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Be:</w:t>
      </w:r>
    </w:p>
    <w:p w:rsidR="00000000" w:rsidDel="00000000" w:rsidP="00000000" w:rsidRDefault="00000000" w:rsidRPr="00000000" w14:paraId="0000000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-1314449</wp:posOffset>
            </wp:positionH>
            <wp:positionV relativeFrom="paragraph">
              <wp:posOffset>121377</wp:posOffset>
            </wp:positionV>
            <wp:extent cx="7769362" cy="4343718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9362" cy="43437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-257174</wp:posOffset>
            </wp:positionH>
            <wp:positionV relativeFrom="paragraph">
              <wp:posOffset>2855119</wp:posOffset>
            </wp:positionV>
            <wp:extent cx="6477952" cy="5563956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952" cy="55639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8GLBJgQRsJOhSasXzz3FcC471w==">CgMxLjA4AHIhMVZfekk2bGVTdTJQRUJGQTRsTmlaY0NKakJjaUswRkJu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