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419"/>
          <w:tab w:val="right" w:leader="none" w:pos="8838"/>
        </w:tabs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057756" cy="67374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756" cy="673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center"/>
        <w:tblLayout w:type="fixed"/>
        <w:tblLook w:val="04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3"/>
              <w:keepLines w:val="0"/>
              <w:spacing w:after="60" w:before="240" w:line="240" w:lineRule="auto"/>
              <w:ind w:left="1287" w:hanging="720"/>
              <w:rPr>
                <w:rFonts w:ascii="Cambria" w:cs="Cambria" w:eastAsia="Cambria" w:hAnsi="Cambria"/>
                <w:color w:val="548dd4"/>
                <w:sz w:val="26"/>
                <w:szCs w:val="2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mbria" w:cs="Cambria" w:eastAsia="Cambria" w:hAnsi="Cambria"/>
                <w:color w:val="548dd4"/>
                <w:sz w:val="26"/>
                <w:szCs w:val="26"/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2203.984375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Calibri" w:cs="Calibri" w:eastAsia="Calibri" w:hAnsi="Calibri"/>
                <w:b w:val="1"/>
                <w:sz w:val="70"/>
                <w:szCs w:val="7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70"/>
                <w:szCs w:val="70"/>
                <w:highlight w:val="white"/>
                <w:rtl w:val="0"/>
              </w:rPr>
              <w:t xml:space="preserve">Plan de Gestión 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alibri" w:cs="Calibri" w:eastAsia="Calibri" w:hAnsi="Calibri"/>
                <w:b w:val="1"/>
                <w:sz w:val="70"/>
                <w:szCs w:val="7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70"/>
                <w:szCs w:val="70"/>
                <w:highlight w:val="white"/>
                <w:rtl w:val="0"/>
              </w:rPr>
              <w:t xml:space="preserve">de Riesgos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alibri" w:cs="Calibri" w:eastAsia="Calibri" w:hAnsi="Calibri"/>
                <w:i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  <w:i w:val="1"/>
                <w:sz w:val="44"/>
                <w:szCs w:val="4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44"/>
                <w:szCs w:val="44"/>
                <w:rtl w:val="0"/>
              </w:rPr>
              <w:t xml:space="preserve">Proyecto: AirLink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  <w:i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9.10156250000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Integrantes: 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Michael Rubio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Sebastian Muñoz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Lorca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Juan Paillán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Almendra Pavez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Docente: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Julio Tapia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Sección: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007- 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spacing w:after="0" w:before="480" w:lineRule="auto"/>
        <w:rPr>
          <w:rFonts w:ascii="Arial" w:cs="Arial" w:eastAsia="Arial" w:hAnsi="Arial"/>
          <w:b w:val="1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366091"/>
          <w:sz w:val="28"/>
          <w:szCs w:val="28"/>
          <w:rtl w:val="0"/>
        </w:rPr>
        <w:t xml:space="preserve">Contenido</w:t>
      </w:r>
    </w:p>
    <w:sdt>
      <w:sdtPr>
        <w:id w:val="1395322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DUOC UC - Escuela de informática y telecomunicaciones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6y3upr88b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8srrv5wxbrh"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Niveles de autoridad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Style w:val="Heading1"/>
        <w:rPr>
          <w:rFonts w:ascii="Arial" w:cs="Arial" w:eastAsia="Arial" w:hAnsi="Arial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Ficha del documento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080"/>
        <w:gridCol w:w="1185"/>
        <w:gridCol w:w="3060"/>
        <w:gridCol w:w="3315"/>
        <w:tblGridChange w:id="0">
          <w:tblGrid>
            <w:gridCol w:w="1080"/>
            <w:gridCol w:w="1185"/>
            <w:gridCol w:w="3060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02/10/2025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Almendra Pavez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Versión inicial con 25 riesgos clave.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2.0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07/10/2025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Michael Rubio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Sebastian Muñoz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Lorca</w:t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Juan Paillán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i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Almendra Pavez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Plan de Gestión de Riesgo completado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spacing w:before="240" w:line="240" w:lineRule="auto"/>
        <w:rPr>
          <w:rFonts w:ascii="Arial" w:cs="Arial" w:eastAsia="Arial" w:hAnsi="Arial"/>
          <w:color w:val="2f5496"/>
          <w:sz w:val="24"/>
          <w:szCs w:val="24"/>
        </w:rPr>
      </w:pPr>
      <w:bookmarkStart w:colFirst="0" w:colLast="0" w:name="_heading=h.q9u8vjhym4h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before="240" w:line="240" w:lineRule="auto"/>
        <w:rPr>
          <w:rFonts w:ascii="Arial" w:cs="Arial" w:eastAsia="Arial" w:hAnsi="Arial"/>
          <w:color w:val="2f5496"/>
        </w:rPr>
      </w:pPr>
      <w:bookmarkStart w:colFirst="0" w:colLast="0" w:name="_heading=h.h6y3upr88ba" w:id="3"/>
      <w:bookmarkEnd w:id="3"/>
      <w:r w:rsidDel="00000000" w:rsidR="00000000" w:rsidRPr="00000000">
        <w:rPr>
          <w:rFonts w:ascii="Arial" w:cs="Arial" w:eastAsia="Arial" w:hAnsi="Arial"/>
          <w:color w:val="2f5496"/>
          <w:rtl w:val="0"/>
        </w:rPr>
        <w:t xml:space="preserve">Información del proyecto</w:t>
      </w:r>
    </w:p>
    <w:p w:rsidR="00000000" w:rsidDel="00000000" w:rsidP="00000000" w:rsidRDefault="00000000" w:rsidRPr="00000000" w14:paraId="00000034">
      <w:pPr>
        <w:pStyle w:val="Heading2"/>
        <w:spacing w:before="40" w:line="240" w:lineRule="auto"/>
        <w:rPr>
          <w:rFonts w:ascii="Arial" w:cs="Arial" w:eastAsia="Arial" w:hAnsi="Arial"/>
          <w:color w:val="2f5496"/>
          <w:sz w:val="28"/>
          <w:szCs w:val="28"/>
        </w:rPr>
      </w:pPr>
      <w:bookmarkStart w:colFirst="0" w:colLast="0" w:name="_heading=h.c8srrv5wxbrh" w:id="4"/>
      <w:bookmarkEnd w:id="4"/>
      <w:r w:rsidDel="00000000" w:rsidR="00000000" w:rsidRPr="00000000">
        <w:rPr>
          <w:rFonts w:ascii="Arial" w:cs="Arial" w:eastAsia="Arial" w:hAnsi="Arial"/>
          <w:color w:val="2f5496"/>
          <w:sz w:val="28"/>
          <w:szCs w:val="28"/>
          <w:rtl w:val="0"/>
        </w:rPr>
        <w:t xml:space="preserve">Datos</w:t>
      </w:r>
    </w:p>
    <w:tbl>
      <w:tblPr>
        <w:tblStyle w:val="Table3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</w:rPr>
              <w:drawing>
                <wp:inline distB="114300" distT="114300" distL="114300" distR="114300">
                  <wp:extent cx="1209675" cy="419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Airlink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AirLink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20/08/2025 – 29/12/2025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Juan Paillán - Director de desarrollo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Visión General del Proyecto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Automatizar el registro de asistencia en Duoc UC con tecnología QR, asegurando precisión y cumplimiento normativo.</w:t>
            </w:r>
          </w:p>
        </w:tc>
      </w:tr>
    </w:tbl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before="40" w:line="240" w:lineRule="auto"/>
        <w:rPr>
          <w:rFonts w:ascii="Arial" w:cs="Arial" w:eastAsia="Arial" w:hAnsi="Arial"/>
          <w:color w:val="2f5496"/>
          <w:sz w:val="28"/>
          <w:szCs w:val="28"/>
        </w:rPr>
      </w:pPr>
      <w:bookmarkStart w:colFirst="0" w:colLast="0" w:name="_heading=h.2et92p0" w:id="5"/>
      <w:bookmarkEnd w:id="5"/>
      <w:r w:rsidDel="00000000" w:rsidR="00000000" w:rsidRPr="00000000">
        <w:rPr>
          <w:rFonts w:ascii="Arial" w:cs="Arial" w:eastAsia="Arial" w:hAnsi="Arial"/>
          <w:color w:val="2f5496"/>
          <w:sz w:val="28"/>
          <w:szCs w:val="28"/>
          <w:rtl w:val="0"/>
        </w:rPr>
        <w:t xml:space="preserve">Gerente de Proyecto</w:t>
      </w:r>
    </w:p>
    <w:tbl>
      <w:tblPr>
        <w:tblStyle w:val="Table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Juan Paillan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Director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de software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spacing w:before="40" w:line="240" w:lineRule="auto"/>
        <w:rPr>
          <w:rFonts w:ascii="Arial" w:cs="Arial" w:eastAsia="Arial" w:hAnsi="Arial"/>
          <w:color w:val="2f5496"/>
          <w:sz w:val="28"/>
          <w:szCs w:val="28"/>
        </w:rPr>
      </w:pPr>
      <w:bookmarkStart w:colFirst="0" w:colLast="0" w:name="_heading=h.tyjcwt" w:id="6"/>
      <w:bookmarkEnd w:id="6"/>
      <w:r w:rsidDel="00000000" w:rsidR="00000000" w:rsidRPr="00000000">
        <w:rPr>
          <w:rFonts w:ascii="Arial" w:cs="Arial" w:eastAsia="Arial" w:hAnsi="Arial"/>
          <w:color w:val="2f5496"/>
          <w:sz w:val="28"/>
          <w:szCs w:val="28"/>
          <w:rtl w:val="0"/>
        </w:rPr>
        <w:br w:type="textWrapping"/>
        <w:t xml:space="preserve">Niveles de autoridad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5"/>
        <w:gridCol w:w="4820"/>
        <w:tblGridChange w:id="0">
          <w:tblGrid>
            <w:gridCol w:w="5245"/>
            <w:gridCol w:w="4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Área de autoridad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Formación del equipo</w:t>
              <w:tab/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Jefe de Proyecto (Juan Paillán)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Aprobación presupuesto</w:t>
              <w:tab/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Jefe de Proyecto (Juan Paillán)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+ Depto. Finanzas 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Decisiones técnicas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BKN.LTDA + IT 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Decisiones técnicas</w:t>
              <w:tab/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 acuerdos con Jefe de proyectos externos.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Escalamiento de conflictos</w:t>
              <w:tab/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Patrocinadores (Duoc UC)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spacing w:before="40" w:line="240" w:lineRule="auto"/>
        <w:rPr>
          <w:rFonts w:ascii="Arial" w:cs="Arial" w:eastAsia="Arial" w:hAnsi="Arial"/>
          <w:b w:val="0"/>
          <w:color w:val="2f5496"/>
          <w:sz w:val="24"/>
          <w:szCs w:val="24"/>
        </w:rPr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before="40" w:line="240" w:lineRule="auto"/>
        <w:rPr>
          <w:rFonts w:ascii="Arial" w:cs="Arial" w:eastAsia="Arial" w:hAnsi="Arial"/>
          <w:color w:val="2f5496"/>
          <w:sz w:val="28"/>
          <w:szCs w:val="28"/>
        </w:rPr>
      </w:pPr>
      <w:bookmarkStart w:colFirst="0" w:colLast="0" w:name="_heading=h.1t3h5sf" w:id="8"/>
      <w:bookmarkEnd w:id="8"/>
      <w:r w:rsidDel="00000000" w:rsidR="00000000" w:rsidRPr="00000000">
        <w:rPr>
          <w:rFonts w:ascii="Arial" w:cs="Arial" w:eastAsia="Arial" w:hAnsi="Arial"/>
          <w:color w:val="2f5496"/>
          <w:sz w:val="28"/>
          <w:szCs w:val="28"/>
          <w:rtl w:val="0"/>
        </w:rPr>
        <w:t xml:space="preserve">Lista de Interesados (stakeholders)</w:t>
      </w:r>
    </w:p>
    <w:p w:rsidR="00000000" w:rsidDel="00000000" w:rsidP="00000000" w:rsidRDefault="00000000" w:rsidRPr="00000000" w14:paraId="00000060">
      <w:pPr>
        <w:pStyle w:val="Heading2"/>
        <w:spacing w:before="40" w:line="240" w:lineRule="auto"/>
        <w:rPr>
          <w:rFonts w:ascii="Arial" w:cs="Arial" w:eastAsia="Arial" w:hAnsi="Arial"/>
          <w:b w:val="0"/>
          <w:color w:val="2f5496"/>
          <w:sz w:val="24"/>
          <w:szCs w:val="24"/>
        </w:rPr>
      </w:pPr>
      <w:bookmarkStart w:colFirst="0" w:colLast="0" w:name="_heading=h.9zlpv28l5q3x" w:id="9"/>
      <w:bookmarkEnd w:id="9"/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1419.9477767944336" w:tblpY="0"/>
        <w:tblW w:w="1249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0"/>
        <w:gridCol w:w="2310"/>
        <w:gridCol w:w="2670"/>
        <w:gridCol w:w="4875"/>
        <w:tblGridChange w:id="0">
          <w:tblGrid>
            <w:gridCol w:w="2640"/>
            <w:gridCol w:w="2310"/>
            <w:gridCol w:w="2670"/>
            <w:gridCol w:w="487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Departamento / División</w:t>
            </w:r>
          </w:p>
        </w:tc>
      </w:tr>
      <w:tr>
        <w:trPr>
          <w:cantSplit w:val="0"/>
          <w:trHeight w:val="322.9687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principal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Institución educativa/ tester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Alumno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Usuario Final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Usuario Final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Calidad/ Tester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desarrollo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Desarrollador Web/Mobile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heading=h.lyne3v7cshvp" w:id="10"/>
      <w:bookmarkEnd w:id="1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Contexto del proyecto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Proyecto: AirLink.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Visión: Plataforma web/móvil para búsqueda de viajes (aéreo/bus), reservas, pagos y emisión de tickets con notificaciones y facturación.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Actores clave: Cliente/Usuario, Administrador/Backoffice, Pasarela de Pago, Proveedor Email/SMS, OAuth (Google), Generador de PDF.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Arquitectura de referencia: API Gateway + servicios (Booking, Payment, Ticketing, Invoice, Catalog/Search, Notify, Auth), base de datos MySQL y Jobs/Mensajería.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Marco legal: Ley de protección de datos personales (p. ej., Ley 19.628 o la aplicable en tu jurisdicción) y buenas prácticas PCI DSS (si se tokenizan/tocan tarjetas).</w:t>
      </w:r>
    </w:p>
    <w:p w:rsidR="00000000" w:rsidDel="00000000" w:rsidP="00000000" w:rsidRDefault="00000000" w:rsidRPr="00000000" w14:paraId="0000007D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heading=h.6l830970s69t" w:id="11"/>
      <w:bookmarkEnd w:id="1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 Matriz de riesgos 5×5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4"/>
          <w:szCs w:val="24"/>
        </w:rPr>
      </w:pPr>
      <w:sdt>
        <w:sdtPr>
          <w:id w:val="-136261374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Escala: Probabilidad (P) 1–5, Impacto (I) 1–5, Nivel = P×I. Umbrales: 1–5 bajo, 6–10 moderado, 12–15 alto, ≥16 crítico.</w:t>
          </w:r>
        </w:sdtContent>
      </w:sdt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92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855"/>
        <w:gridCol w:w="1845"/>
        <w:gridCol w:w="1485"/>
        <w:gridCol w:w="600"/>
        <w:gridCol w:w="465"/>
        <w:gridCol w:w="795"/>
        <w:gridCol w:w="1350"/>
        <w:gridCol w:w="1875"/>
        <w:gridCol w:w="1650"/>
        <w:tblGridChange w:id="0">
          <w:tblGrid>
            <w:gridCol w:w="855"/>
            <w:gridCol w:w="1845"/>
            <w:gridCol w:w="1485"/>
            <w:gridCol w:w="600"/>
            <w:gridCol w:w="465"/>
            <w:gridCol w:w="795"/>
            <w:gridCol w:w="1350"/>
            <w:gridCol w:w="1875"/>
            <w:gridCol w:w="16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Riesgo (causa)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Nivel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Dueño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Respuesta principal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Indicadores/Disparadores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R-01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Caída de pasarela de pago durante checkout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Tecnológico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Payment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Mitigar: reserva-pendiente + reintento/cola; contrato SLA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Errores 5xx/timeout pasarela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R-02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Fraude/chargeback en pagos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Seguridad/Financiero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Payment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Mitigar: 3DS/AVS, límites; Transferir: reglas antifraude gateway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% chargeback, alertas antifraude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R-03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Doble asignación de asiento por concurrencia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Booking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Mitigar: bloqueo fila/TTL hold, pruebas de carrera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Colisiones de asiento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R-04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Inyección SQL/API insegura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Prevenir: ORM/parametrización, WAF, SAST/DAST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Hallazgos críticos SAST/DAST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R-05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Fuga de datos PII (usuarios/reservas)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Legal/Seguridad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Cifrado en reposo/tránsito, mínimos privilegios, registros de acceso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Alarmas DLP, accesos anómalos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R-06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Indisponibilidad Email/SMS (no llegan tickets/facturas)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Operacional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Notify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Mitigar: proveedor alterno, reintentos/backoff, cola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% fallos envío, colas estancadas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R-07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Retraso en OAuth/Google (login social)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Evitar: mock/feature-flag; Mitigar: plan B login nativo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% historias OAuth 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R-08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Sobrecostos cloud por sizing subóptimo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Financiero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Infra/DB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Mitigar: autoscaling + límites, alertas de costo, limpieza temporales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Costo diario vs presupuesto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R-09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Bajas de performance en búsqueda/filtros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Tecnológico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Catalog/Search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Mitigar: índices, caché, paginación, pruebas de carga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P95 latencia &gt; 800ms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R-10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Reglas de tarifas erróneas/regresiones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Pricing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Prevenir: pruebas unitarias de reglas y canary de precios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Bugs de pricing en QA/prod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R-11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Incumplimiento legal (datos/consumidor)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Evitar: revisión legal, retención/anonimización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Hallazgos auditoría legal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R-12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Cálculo de impuestos incorrecto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Invoice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Mitigar: tabla de impuestos versionada, pruebas borde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Soporte: “total incorrecto”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R-13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Cupón mal aplicado (stacking/expirado)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Booking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Validadores (vigencia, compatibilidad), auditoría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Discrepancias contables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R-14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Tickets duplicados/secuencia rota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Operacional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Ticketing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Claves únicas/series por día, transacciones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Duplicados detectados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R-15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Caída de BD o corrupción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Tecnológico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Infra/DB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Clúster + backups verificados + PITR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RPO/RTO, fallos réplica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R-16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Backups fallidos (no restaurables)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Operacional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Infra/DB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Restores mensuales de prueba, checksum, runbook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Éxito restore mensual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R-17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Falta de monitoreo/alertas (detección tardía)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Operacional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Infra/Seguridad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Observabilidad (APM, logs, métricas, SLOs)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Cobertura alertas por servicio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R-18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Picos de tráfico sin pruebas de carga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Tecnológico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Infra/App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Gatling/JMeter, auto-scale, caché CDN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Tiempos &gt; SLO en stress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R-19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sesión débil (JWT, expiración)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Expiración corta + refresh, revocación/blacklist, rotación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Incidentes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R-20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Cambios de alcance poco gobernados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PMO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 de cambios con impacto/costo/tiempo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 por sprint, desviación plan</w:t>
            </w:r>
          </w:p>
        </w:tc>
      </w:tr>
    </w:tbl>
    <w:p w:rsidR="00000000" w:rsidDel="00000000" w:rsidP="00000000" w:rsidRDefault="00000000" w:rsidRPr="00000000" w14:paraId="000001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heading=h.85kufyqfplzq" w:id="12"/>
      <w:bookmarkEnd w:id="12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 Estructura de Desglose de Riesgos (RBS)</w:t>
      </w:r>
    </w:p>
    <w:p w:rsidR="00000000" w:rsidDel="00000000" w:rsidP="00000000" w:rsidRDefault="00000000" w:rsidRPr="00000000" w14:paraId="000001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1.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-146385043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Calidad de código → Inyección SQL (R-04), regresiones de reglas (R-10)</w:t>
          </w:r>
        </w:sdtContent>
      </w:sdt>
    </w:p>
    <w:p w:rsidR="00000000" w:rsidDel="00000000" w:rsidP="00000000" w:rsidRDefault="00000000" w:rsidRPr="00000000" w14:paraId="00000141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-83364079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Datos y consistencia → doble asiento (R-03), duplicado ticket (R-14)</w:t>
          </w:r>
        </w:sdtContent>
      </w:sdt>
    </w:p>
    <w:p w:rsidR="00000000" w:rsidDel="00000000" w:rsidP="00000000" w:rsidRDefault="00000000" w:rsidRPr="00000000" w14:paraId="00000142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-164737738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Cálculo de negocio → impuestos (R-12), cupones (R-13)</w:t>
          </w:r>
        </w:sdtContent>
      </w:sdt>
    </w:p>
    <w:p w:rsidR="00000000" w:rsidDel="00000000" w:rsidP="00000000" w:rsidRDefault="00000000" w:rsidRPr="00000000" w14:paraId="000001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2. Tecnológico/Infra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200824926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Disponibilidad → caída BD (R-15), picos sin pruebas (R-18)</w:t>
          </w:r>
        </w:sdtContent>
      </w:sdt>
    </w:p>
    <w:p w:rsidR="00000000" w:rsidDel="00000000" w:rsidP="00000000" w:rsidRDefault="00000000" w:rsidRPr="00000000" w14:paraId="00000145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50670549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Rendimiento → búsqueda/latencia (R-09)</w:t>
          </w:r>
        </w:sdtContent>
      </w:sdt>
    </w:p>
    <w:p w:rsidR="00000000" w:rsidDel="00000000" w:rsidP="00000000" w:rsidRDefault="00000000" w:rsidRPr="00000000" w14:paraId="00000146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114709131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Costos → sobrecostos cloud (R-08)</w:t>
          </w:r>
        </w:sdtContent>
      </w:sdt>
    </w:p>
    <w:p w:rsidR="00000000" w:rsidDel="00000000" w:rsidP="00000000" w:rsidRDefault="00000000" w:rsidRPr="00000000" w14:paraId="000001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3.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69198640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Autenticación/Sesión → JWT/expiración (R-19)</w:t>
          </w:r>
        </w:sdtContent>
      </w:sdt>
    </w:p>
    <w:p w:rsidR="00000000" w:rsidDel="00000000" w:rsidP="00000000" w:rsidRDefault="00000000" w:rsidRPr="00000000" w14:paraId="00000149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-109192539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Pagos/Fraude → chargeback (R-02)</w:t>
          </w:r>
        </w:sdtContent>
      </w:sdt>
    </w:p>
    <w:p w:rsidR="00000000" w:rsidDel="00000000" w:rsidP="00000000" w:rsidRDefault="00000000" w:rsidRPr="00000000" w14:paraId="0000014A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-16564253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Datos personales → fuga PII (R-05)</w:t>
          </w:r>
        </w:sdtContent>
      </w:sdt>
    </w:p>
    <w:p w:rsidR="00000000" w:rsidDel="00000000" w:rsidP="00000000" w:rsidRDefault="00000000" w:rsidRPr="00000000" w14:paraId="000001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4.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-149466220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Notificaciones → proveedor inestable (R-06)</w:t>
          </w:r>
        </w:sdtContent>
      </w:sdt>
    </w:p>
    <w:p w:rsidR="00000000" w:rsidDel="00000000" w:rsidP="00000000" w:rsidRDefault="00000000" w:rsidRPr="00000000" w14:paraId="0000014D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-195240397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Backups/DRP → restore fallido (R-16)</w:t>
          </w:r>
        </w:sdtContent>
      </w:sdt>
    </w:p>
    <w:p w:rsidR="00000000" w:rsidDel="00000000" w:rsidP="00000000" w:rsidRDefault="00000000" w:rsidRPr="00000000" w14:paraId="0000014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5. Legal/Compliance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205345477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Protección de datos → Ley 19.628 (R-05, R-11)</w:t>
          </w:r>
        </w:sdtContent>
      </w:sdt>
    </w:p>
    <w:p w:rsidR="00000000" w:rsidDel="00000000" w:rsidP="00000000" w:rsidRDefault="00000000" w:rsidRPr="00000000" w14:paraId="00000150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106346133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PCI DSS (si aplica) → tokenización/pasarela (R-02)</w:t>
          </w:r>
        </w:sdtContent>
      </w:sdt>
    </w:p>
    <w:p w:rsidR="00000000" w:rsidDel="00000000" w:rsidP="00000000" w:rsidRDefault="00000000" w:rsidRPr="00000000" w14:paraId="000001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6. Proyecto/Gobierno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-75504314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Alcance → control de cambios (R-20)</w:t>
          </w:r>
        </w:sdtContent>
      </w:sdt>
    </w:p>
    <w:p w:rsidR="00000000" w:rsidDel="00000000" w:rsidP="00000000" w:rsidRDefault="00000000" w:rsidRPr="00000000" w14:paraId="00000153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-102685121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Integraciones externas → OAuth (R-07), pasarela (R-01)</w:t>
          </w:r>
        </w:sdtContent>
      </w:sdt>
    </w:p>
    <w:p w:rsidR="00000000" w:rsidDel="00000000" w:rsidP="00000000" w:rsidRDefault="00000000" w:rsidRPr="00000000" w14:paraId="00000154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heading=h.85j05nhdq4v6" w:id="13"/>
      <w:bookmarkEnd w:id="1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 Gobierno de riesgos</w:t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Cálculo: Nivel = P×I (1–25).</w:t>
      </w:r>
    </w:p>
    <w:p w:rsidR="00000000" w:rsidDel="00000000" w:rsidP="00000000" w:rsidRDefault="00000000" w:rsidRPr="00000000" w14:paraId="0000015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Umbrales de escalamiento:</w:t>
      </w:r>
    </w:p>
    <w:p w:rsidR="00000000" w:rsidDel="00000000" w:rsidP="00000000" w:rsidRDefault="00000000" w:rsidRPr="00000000" w14:paraId="00000157">
      <w:pPr>
        <w:ind w:left="360" w:firstLine="0"/>
        <w:rPr>
          <w:rFonts w:ascii="Arial" w:cs="Arial" w:eastAsia="Arial" w:hAnsi="Arial"/>
          <w:sz w:val="24"/>
          <w:szCs w:val="24"/>
        </w:rPr>
      </w:pPr>
      <w:sdt>
        <w:sdtPr>
          <w:id w:val="44212425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• Crítico (≥16): notificación inmediata al GP; contención &lt;24h; seguimiento diario.</w:t>
          </w:r>
        </w:sdtContent>
      </w:sdt>
    </w:p>
    <w:p w:rsidR="00000000" w:rsidDel="00000000" w:rsidP="00000000" w:rsidRDefault="00000000" w:rsidRPr="00000000" w14:paraId="00000158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Alto (12–15): revisión en comité semanal; plan de mitigación fechado.</w:t>
      </w:r>
    </w:p>
    <w:p w:rsidR="00000000" w:rsidDel="00000000" w:rsidP="00000000" w:rsidRDefault="00000000" w:rsidRPr="00000000" w14:paraId="00000159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Moderado (6–10): seguimiento por sprint.</w:t>
      </w:r>
    </w:p>
    <w:p w:rsidR="00000000" w:rsidDel="00000000" w:rsidP="00000000" w:rsidRDefault="00000000" w:rsidRPr="00000000" w14:paraId="0000015A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Bajo (1–5): monitoreo.</w:t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KPIs de 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% riesgos críticos abiertos (&gt;7 días)</w:t>
      </w:r>
    </w:p>
    <w:p w:rsidR="00000000" w:rsidDel="00000000" w:rsidP="00000000" w:rsidRDefault="00000000" w:rsidRPr="00000000" w14:paraId="0000015D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% mitigaciones vencidas por sprint</w:t>
      </w:r>
    </w:p>
    <w:p w:rsidR="00000000" w:rsidDel="00000000" w:rsidP="00000000" w:rsidRDefault="00000000" w:rsidRPr="00000000" w14:paraId="0000015E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MTTR incidentes críticos en producción</w:t>
      </w:r>
    </w:p>
    <w:p w:rsidR="00000000" w:rsidDel="00000000" w:rsidP="00000000" w:rsidRDefault="00000000" w:rsidRPr="00000000" w14:paraId="0000015F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Cobertura SAST/DAST y éxito de restores mensuales</w:t>
      </w:r>
    </w:p>
    <w:p w:rsidR="00000000" w:rsidDel="00000000" w:rsidP="00000000" w:rsidRDefault="00000000" w:rsidRPr="00000000" w14:paraId="00000160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heading=h.k0ial4w9h7ga" w:id="14"/>
      <w:bookmarkEnd w:id="14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5. Plantilla de plan de respuesta por riesgo</w:t>
      </w:r>
    </w:p>
    <w:p w:rsidR="00000000" w:rsidDel="00000000" w:rsidP="00000000" w:rsidRDefault="00000000" w:rsidRPr="00000000" w14:paraId="0000016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Estrategia: Evitar / Mitigar / Transferir / Aceptar</w:t>
      </w:r>
    </w:p>
    <w:p w:rsidR="00000000" w:rsidDel="00000000" w:rsidP="00000000" w:rsidRDefault="00000000" w:rsidRPr="00000000" w14:paraId="000001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Plan de contención: (qué hacemos si ocurre)</w:t>
      </w:r>
    </w:p>
    <w:p w:rsidR="00000000" w:rsidDel="00000000" w:rsidP="00000000" w:rsidRDefault="00000000" w:rsidRPr="00000000" w14:paraId="0000016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Acciones preventivas: (checklist)</w:t>
      </w:r>
    </w:p>
    <w:p w:rsidR="00000000" w:rsidDel="00000000" w:rsidP="00000000" w:rsidRDefault="00000000" w:rsidRPr="00000000" w14:paraId="0000016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Owner y fecha objetivo</w:t>
      </w:r>
    </w:p>
    <w:p w:rsidR="00000000" w:rsidDel="00000000" w:rsidP="00000000" w:rsidRDefault="00000000" w:rsidRPr="00000000" w14:paraId="0000016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Señales tempranas: (métrica/alerta)</w:t>
      </w:r>
    </w:p>
    <w:p w:rsidR="00000000" w:rsidDel="00000000" w:rsidP="00000000" w:rsidRDefault="00000000" w:rsidRPr="00000000" w14:paraId="0000016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Criterio de cierre: (p.ej., 2 sprints sin incidentes + pruebas automáticas verdes)</w:t>
      </w:r>
    </w:p>
    <w:p w:rsidR="00000000" w:rsidDel="00000000" w:rsidP="00000000" w:rsidRDefault="00000000" w:rsidRPr="00000000" w14:paraId="0000016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Ejemplo aplicado (R-03 Doble asignación de asiento)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Estrategia: Mitigar</w:t>
      </w:r>
    </w:p>
    <w:p w:rsidR="00000000" w:rsidDel="00000000" w:rsidP="00000000" w:rsidRDefault="00000000" w:rsidRPr="00000000" w14:paraId="0000016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Acciones preventivas: Locks de fila + TTL hold + pruebas de carrera + monitor de colisión</w:t>
      </w:r>
    </w:p>
    <w:p w:rsidR="00000000" w:rsidDel="00000000" w:rsidP="00000000" w:rsidRDefault="00000000" w:rsidRPr="00000000" w14:paraId="0000016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 de contención: Liberar hold y reofertar, comunicar disculpa + cupón</w:t>
      </w:r>
    </w:p>
    <w:p w:rsidR="00000000" w:rsidDel="00000000" w:rsidP="00000000" w:rsidRDefault="00000000" w:rsidRPr="00000000" w14:paraId="0000016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 de cierre: 0 colisiones por 30 días y suite de concurrencia 100% verde</w:t>
      </w:r>
    </w:p>
    <w:p w:rsidR="00000000" w:rsidDel="00000000" w:rsidP="00000000" w:rsidRDefault="00000000" w:rsidRPr="00000000" w14:paraId="0000016C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heading=h.36dguwtj3tdj" w:id="15"/>
      <w:bookmarkEnd w:id="1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6. Carta Gantt (Cronograma y Hitos)</w:t>
      </w:r>
    </w:p>
    <w:p w:rsidR="00000000" w:rsidDel="00000000" w:rsidP="00000000" w:rsidRDefault="00000000" w:rsidRPr="00000000" w14:paraId="0000016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cronograma del proyecto AirLink se estructura en 4 hitos críticos, alineados con la gestión de riesgos y las fases técnicas:</w:t>
      </w:r>
    </w:p>
    <w:tbl>
      <w:tblPr>
        <w:tblStyle w:val="Table8"/>
        <w:tblW w:w="8640.0" w:type="dxa"/>
        <w:jc w:val="center"/>
        <w:tbl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H w:color="c0504d" w:space="0" w:sz="8" w:val="single"/>
          <w:insideV w:color="c0504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Hito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Entregables 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Primera Entrega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 de Septiembre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Documentación inicial, presupuesto y mockups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Segunda Entrega – Parte I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 de Octubre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Documentación actualizada + avances realizados + nueva documentación solicitada.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Segunda Entrega – Parte II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Por definir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Script de base de datos normalizada y aplicación web al 80%.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Tercera Entrega – Parte I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 de Diciembre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Documentación actualizada + avances realizados + nueva documentación solicitada.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Tercera Entrega – Parte II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Por definir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Script de base de datos normalizada y aplicación de escritorio al 80%.</w:t>
            </w:r>
          </w:p>
        </w:tc>
      </w:tr>
    </w:tbl>
    <w:p w:rsidR="00000000" w:rsidDel="00000000" w:rsidP="00000000" w:rsidRDefault="00000000" w:rsidRPr="00000000" w14:paraId="0000018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Nota: mantener y actualizar esta carta Gantt en Jira/Project. Los riesgos críticos (R-01, R-03, R-04, R-06, R-15, R-16) se revisan en cada hito.</w:t>
      </w:r>
    </w:p>
    <w:p w:rsidR="00000000" w:rsidDel="00000000" w:rsidP="00000000" w:rsidRDefault="00000000" w:rsidRPr="00000000" w14:paraId="00000181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heading=h.ukwxymglhiqz" w:id="16"/>
      <w:bookmarkEnd w:id="16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 Conclusión</w:t>
      </w:r>
    </w:p>
    <w:p w:rsidR="00000000" w:rsidDel="00000000" w:rsidP="00000000" w:rsidRDefault="00000000" w:rsidRPr="00000000" w14:paraId="0000018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gestión de riesgos de AirLink prioriza la continuidad del negocio (pagos, emisión de tickets, facturación y notificaciones) y la protección de datos.</w:t>
      </w:r>
    </w:p>
    <w:p w:rsidR="00000000" w:rsidDel="00000000" w:rsidP="00000000" w:rsidRDefault="00000000" w:rsidRPr="00000000" w14:paraId="0000018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 la matriz 5×5, el RBS y el gobierno propuesto, se establecen responsabilidades claras y métricas que permiten anticipar y contener incidentes.</w:t>
      </w:r>
    </w:p>
    <w:p w:rsidR="00000000" w:rsidDel="00000000" w:rsidP="00000000" w:rsidRDefault="00000000" w:rsidRPr="00000000" w14:paraId="0000018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Carta Gantt define puntos de control para validar mitigaciones clave (pagos, concurrencia de asientos, seguridad y respaldo/restauración).</w:t>
      </w:r>
    </w:p>
    <w:p w:rsidR="00000000" w:rsidDel="00000000" w:rsidP="00000000" w:rsidRDefault="00000000" w:rsidRPr="00000000" w14:paraId="0000018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éxito del proyecto depende de la disciplina en: pruebas automatizadas, observabilidad, restores mensuales, controles de seguridad y gestión del cambio.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fill="efd3d3" w:val="clear"/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fill="efd3d3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color="000000" w:space="0" w:sz="0" w:val="nil"/>
          <w:insideV w:color="c0504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  <w:insideH w:color="000000" w:space="0" w:sz="0" w:val="nil"/>
          <w:insideV w:color="c0504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Y0XS0LGQWoQb2VlbeKvc9/ibV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zIIaC5namRneHMyCWguMzBqMHpsbDIOaC5xOXU4dmpoeW00aHIyDWguaDZ5M3Vwcjg4YmEyDmguYzhzcnJ2NXd4YnJoMgloLjJldDkycDAyCGgudHlqY3d0MgloLjNkeTZ2a20yCWguMXQzaDVzZjIOaC45emxwdjI4bDVxM3gyDmgubHluZTN2N2NzaHZwMg5oLjZsODMwOTcwczY5dDIOaC44NWt1ZnlxZnBsenEyDmguODVqMDVuaGRxNHY2Mg5oLmswaWFsNHc5aDdnYTIOaC4zNmRndXd0ajN0ZGoyDmgudWt3eHltZ2xoaXF6OAByITFMN0FSMVJmTnRTN1o5ZDBxdGVlTzZMYktMazdQcDAx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