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Y2ZkZjQxYWEtZDBhNy00ZjQ1LWI2NDEtNjRmOGQzOWQxNTky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
        <w:id w:val="-733385051"/>
        <w:placeholder>
          <w:docPart w:val="DefaultPlaceholder_-1854013440"/>
        </w:placeholder>
      </w:sdtPr>
      <w:sdtContent>
        <w:p w14:paraId="5874DA6F" w14:textId="0E43E460" w:rsidR="00003682" w:rsidRDefault="00F573E9">
          <w:pPr>
            <w:rPr>
              <w:color w:val="000000"/>
            </w:rPr>
          </w:pPr>
          <w:r w:rsidRPr="00F573E9">
            <w:rPr>
              <w:color w:val="000000"/>
            </w:rPr>
            <w:t>(Goodreau et al. 2009)</w:t>
          </w:r>
        </w:p>
      </w:sdtContent>
    </w:sdt>
    <w:sdt>
      <w:sdtPr>
        <w:tag w:val="MENDELEY_BIBLIOGRAPHY"/>
        <w:id w:val="1727174799"/>
        <w:placeholder>
          <w:docPart w:val="DefaultPlaceholder_-1854013440"/>
        </w:placeholder>
      </w:sdtPr>
      <w:sdtContent>
        <w:p w14:paraId="6F337309" w14:textId="77777777" w:rsidR="00F573E9" w:rsidRDefault="00F573E9">
          <w:pPr>
            <w:autoSpaceDE w:val="0"/>
            <w:autoSpaceDN w:val="0"/>
            <w:ind w:hanging="480"/>
            <w:divId w:val="36011432"/>
            <w:rPr>
              <w:rFonts w:eastAsia="Times New Roman"/>
              <w:kern w:val="0"/>
              <w:sz w:val="24"/>
              <w:szCs w:val="24"/>
              <w14:ligatures w14:val="none"/>
            </w:rPr>
          </w:pPr>
          <w:r>
            <w:rPr>
              <w:rFonts w:eastAsia="Times New Roman"/>
            </w:rPr>
            <w:t xml:space="preserve">Goodreau, Steven M, James A Kitts, Carter Butts, Marijtje van Duijn, Krista Gile, Deven Hamilton, Pavel Krivitsky Steven Goodreau, and Martina Morris. 2009. “Birds of a Feather, or Friend of a Friend? Using Exponential Random Graph Models to Investigate Adolescent Social Networks.” </w:t>
          </w:r>
          <w:r>
            <w:rPr>
              <w:rFonts w:eastAsia="Times New Roman"/>
              <w:i/>
              <w:iCs/>
            </w:rPr>
            <w:t>Demography</w:t>
          </w:r>
          <w:r>
            <w:rPr>
              <w:rFonts w:eastAsia="Times New Roman"/>
            </w:rPr>
            <w:t xml:space="preserve"> 46 (1): 103–25.</w:t>
          </w:r>
        </w:p>
        <w:p w14:paraId="26E80AE5" w14:textId="23D10294" w:rsidR="003A24FA" w:rsidRDefault="00F573E9">
          <w:r>
            <w:rPr>
              <w:rFonts w:eastAsia="Times New Roman"/>
            </w:rPr>
            <w:t> </w:t>
          </w:r>
        </w:p>
      </w:sdtContent>
    </w:sdt>
    <w:p w14:paraId="3BA5ED3C" w14:textId="04E8BE1E" w:rsidR="001A7A92" w:rsidRDefault="001A7A92" w:rsidP="00804FC9">
      <w:r>
        <w:t xml:space="preserve">Introduction summary: </w:t>
      </w:r>
    </w:p>
    <w:p w14:paraId="6BE9ADA7" w14:textId="6FA0569E" w:rsidR="001A7A92" w:rsidRDefault="001549DE" w:rsidP="00804FC9">
      <w:sdt>
        <w:sdtPr>
          <w:rPr>
            <w:color w:val="000000"/>
          </w:rPr>
          <w:tag w:val="MENDELEY_CITATION_v3_eyJjaXRhdGlvbklEIjoiTUVOREVMRVlfQ0lUQVRJT05fNmQ1NWMyMzItMWM0OS00NTUwLTg4MmUtY2RkZDZkMWZkZDE3IiwicHJvcGVydGllcyI6eyJub3RlSW5kZXgiOjAsIm1vZGUiOiJjb21wb3NpdGUifSwiaXNFZGl0ZWQiOmZhbHNlLCJtYW51YWxPdmVycmlkZSI6eyJpc01hbnVhbGx5T3ZlcnJpZGRlbiI6ZmFsc2UsImNpdGVwcm9jVGV4dCI6Ikdvb2RyZWF1IGV0IGFsLiAoMjAwOSkiLCJtYW51YWxPdmVycmlkZVRleHQiOiIifSwiY2l0YXRpb25JdGVtcyI6W3siZGlzcGxheUFzIjoiY29tcG9zaXRl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0cnVlLCJhdXRob3Itb25seSI6ZmFsc2V9XX0="/>
          <w:id w:val="-1721897238"/>
          <w:placeholder>
            <w:docPart w:val="DefaultPlaceholder_-1854013440"/>
          </w:placeholder>
        </w:sdtPr>
        <w:sdtContent>
          <w:r w:rsidR="00F573E9" w:rsidRPr="00F573E9">
            <w:rPr>
              <w:color w:val="000000"/>
            </w:rPr>
            <w:t>Goodreau et al. (2009)</w:t>
          </w:r>
        </w:sdtContent>
      </w:sdt>
      <w:r w:rsidR="00E9340E">
        <w:t xml:space="preserve"> </w:t>
      </w:r>
      <w:r w:rsidR="00275384">
        <w:t>examine</w:t>
      </w:r>
      <w:r w:rsidR="00424510">
        <w:t xml:space="preserve"> the application of ERGMs to analyze adolescent social networks. </w:t>
      </w:r>
      <w:r w:rsidR="00275384">
        <w:t xml:space="preserve">This study provides insightful methodologies that I adapt to evaluate the grant proposal network. </w:t>
      </w:r>
      <w:r w:rsidR="002A5B10" w:rsidRPr="002A5B10">
        <w:t>ERGMs are akin to logistic regression but differ in accounting for the recursive dependency of tie probabilities, necessitating complex statistical computations</w:t>
      </w:r>
      <w:r w:rsidR="002A5B10">
        <w:t xml:space="preserve"> </w:t>
      </w:r>
      <w:sdt>
        <w:sdtPr>
          <w:rPr>
            <w:color w:val="000000"/>
          </w:rPr>
          <w:tag w:val="MENDELEY_CITATION_v3_eyJjaXRhdGlvbklEIjoiTUVOREVMRVlfQ0lUQVRJT05fZWJjYjZmZWQtNTJjNy00N2I2LTg3YWEtZWE4Y2YwYWViMmY3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
          <w:id w:val="-989170459"/>
          <w:placeholder>
            <w:docPart w:val="DefaultPlaceholder_-1854013440"/>
          </w:placeholder>
        </w:sdtPr>
        <w:sdtContent>
          <w:r w:rsidR="00F573E9" w:rsidRPr="00F573E9">
            <w:rPr>
              <w:color w:val="000000"/>
            </w:rPr>
            <w:t>(Goodreau et al. 2009)</w:t>
          </w:r>
        </w:sdtContent>
      </w:sdt>
      <w:r w:rsidR="002A5B10" w:rsidRPr="002A5B10">
        <w:t>.</w:t>
      </w:r>
    </w:p>
    <w:p w14:paraId="145914AA" w14:textId="4218414F" w:rsidR="00123A10" w:rsidRDefault="0007217B" w:rsidP="00804FC9">
      <w:r>
        <w:t>Sociality</w:t>
      </w:r>
      <w:r w:rsidR="00FD14EB">
        <w:t xml:space="preserve"> refers to the intrinsic tendency of an individual to form </w:t>
      </w:r>
      <w:r w:rsidR="000B5670">
        <w:t>friendship</w:t>
      </w:r>
      <w:r w:rsidR="00E0603D">
        <w:t>s</w:t>
      </w:r>
      <w:r w:rsidR="00897424">
        <w:t xml:space="preserve">. </w:t>
      </w:r>
      <w:r w:rsidR="000B5670">
        <w:t xml:space="preserve">It </w:t>
      </w:r>
      <w:r w:rsidR="00F11438" w:rsidRPr="00F11438">
        <w:t>is influenced by various factors such as personality, sociodemographic characteristics, or even external circumstances.</w:t>
      </w:r>
      <w:r w:rsidR="00F548CD">
        <w:t xml:space="preserve"> </w:t>
      </w:r>
      <w:sdt>
        <w:sdtPr>
          <w:rPr>
            <w:color w:val="000000"/>
          </w:rPr>
          <w:tag w:val="MENDELEY_CITATION_v3_eyJjaXRhdGlvbklEIjoiTUVOREVMRVlfQ0lUQVRJT05fZWI1ZWE0OGItYTQzMy00MTgzLThjYzMtMTNlYmYyNTRiZTJhIiwicHJvcGVydGllcyI6eyJub3RlSW5kZXgiOjAsIm1vZGUiOiJhdXRob3Itb25seSJ9LCJpc0VkaXRlZCI6ZmFsc2UsIm1hbnVhbE92ZXJyaWRlIjp7ImlzTWFudWFsbHlPdmVycmlkZGVuIjpmYWxzZSwiY2l0ZXByb2NUZXh0IjoiR29vZHJlYXUgZXQgYWwuIiwibWFudWFsT3ZlcnJpZGVUZXh0IjoiIn0sImNpdGF0aW9uSXRlbXMiOlt7ImRpc3BsYXlBcyI6ImF1dGhvci1vbmx5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mYWxzZSwiYXV0aG9yLW9ubHkiOnRydWV9XX0="/>
          <w:id w:val="1129517758"/>
          <w:placeholder>
            <w:docPart w:val="DefaultPlaceholder_-1854013440"/>
          </w:placeholder>
        </w:sdtPr>
        <w:sdtContent>
          <w:r w:rsidR="00F573E9" w:rsidRPr="00F573E9">
            <w:rPr>
              <w:color w:val="000000"/>
            </w:rPr>
            <w:t>Goodreau et al.</w:t>
          </w:r>
        </w:sdtContent>
      </w:sdt>
      <w:r w:rsidR="00F548CD" w:rsidRPr="00F548CD">
        <w:t>,</w:t>
      </w:r>
      <w:r w:rsidR="004304D4">
        <w:t xml:space="preserve"> </w:t>
      </w:r>
      <w:r w:rsidR="00F548CD" w:rsidRPr="00F548CD">
        <w:t xml:space="preserve">considered </w:t>
      </w:r>
      <w:r w:rsidR="00A60CCE">
        <w:t xml:space="preserve">sociality as </w:t>
      </w:r>
      <w:r w:rsidR="00F548CD" w:rsidRPr="00F548CD">
        <w:t xml:space="preserve">a social process that contributes to the </w:t>
      </w:r>
      <w:r w:rsidR="002273DB">
        <w:t xml:space="preserve">outcome degree. </w:t>
      </w:r>
      <w:r w:rsidR="00C7779A" w:rsidRPr="00C7779A">
        <w:t xml:space="preserve">While degree is a directly measurable attribute (count of connections), sociality is more of an inferred characteristic based on observed patterns of tie formation. For instance, if a person has a high degree (many connections), it could be inferred that they have high sociality, but this is not always a direct correlation, as </w:t>
      </w:r>
      <w:r w:rsidR="00FD7AE5">
        <w:t>other factors like organizational structure, external incentives, or opportunities for interaction can also influence the degree</w:t>
      </w:r>
      <w:r w:rsidR="00C7779A" w:rsidRPr="00C7779A">
        <w:t>.</w:t>
      </w:r>
      <w:r w:rsidR="00F73096">
        <w:t xml:space="preserve"> </w:t>
      </w:r>
      <w:r w:rsidR="000F6BCD">
        <w:t xml:space="preserve">In ERGMs, </w:t>
      </w:r>
      <w:r w:rsidR="00AF6563">
        <w:t xml:space="preserve">the edges term </w:t>
      </w:r>
      <w:r w:rsidR="00AF6563" w:rsidRPr="00AF6563">
        <w:t>captures the overall sociality or propensity to form ties in the network. It is used as a baseline measure of the tendency of network actors to form connections, regardless of specific attributes.</w:t>
      </w:r>
    </w:p>
    <w:p w14:paraId="4E568573" w14:textId="1DD3CAC2" w:rsidR="00123A10" w:rsidRDefault="00C229C2" w:rsidP="00804FC9">
      <w:sdt>
        <w:sdtPr>
          <w:rPr>
            <w:color w:val="000000"/>
          </w:rPr>
          <w:tag w:val="MENDELEY_CITATION_v3_eyJjaXRhdGlvbklEIjoiTUVOREVMRVlfQ0lUQVRJT05fOWYxNGEyYzgtOTk4ZS00MWNiLWIzMTQtZjVjMjMxNTMzM2ZkIiwicHJvcGVydGllcyI6eyJub3RlSW5kZXgiOjAsIm1vZGUiOiJjb21wb3NpdGUifSwiaXNFZGl0ZWQiOmZhbHNlLCJtYW51YWxPdmVycmlkZSI6eyJpc01hbnVhbGx5T3ZlcnJpZGRlbiI6ZmFsc2UsImNpdGVwcm9jVGV4dCI6Ikdvb2RyZWF1IGV0IGFsLiAoMjAwOSkiLCJtYW51YWxPdmVycmlkZVRleHQiOiIifSwiY2l0YXRpb25JdGVtcyI6W3siZGlzcGxheUFzIjoiY29tcG9zaXRl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0cnVlLCJhdXRob3Itb25seSI6ZmFsc2V9XX0="/>
          <w:id w:val="617413938"/>
          <w:placeholder>
            <w:docPart w:val="DefaultPlaceholder_-1854013440"/>
          </w:placeholder>
        </w:sdtPr>
        <w:sdtContent>
          <w:r w:rsidR="00F573E9" w:rsidRPr="00F573E9">
            <w:rPr>
              <w:color w:val="000000"/>
            </w:rPr>
            <w:t>Goodreau et al. (2009)</w:t>
          </w:r>
        </w:sdtContent>
      </w:sdt>
      <w:r w:rsidRPr="00C229C2">
        <w:t xml:space="preserve"> study </w:t>
      </w:r>
      <w:r w:rsidR="00114BB2">
        <w:t xml:space="preserve">included the </w:t>
      </w:r>
      <w:r w:rsidRPr="00C229C2">
        <w:t>explor</w:t>
      </w:r>
      <w:r w:rsidR="00114BB2">
        <w:t>ation of</w:t>
      </w:r>
      <w:r w:rsidRPr="00C229C2">
        <w:t xml:space="preserve"> the propensity of individuals to form connections based on shared attributes, examining both assortative mixing (homophily) and disassortative mixing (heterophily). They differentiated between uniform and differential homophily.</w:t>
      </w:r>
    </w:p>
    <w:p w14:paraId="1EBC69AE" w14:textId="77777777" w:rsidR="00C229C2" w:rsidRDefault="00C229C2" w:rsidP="00804FC9"/>
    <w:p w14:paraId="493DABE0" w14:textId="33EA1689" w:rsidR="002A5B10" w:rsidRDefault="002A5B10" w:rsidP="00804FC9">
      <w:r>
        <w:t>___ Reading Notes__</w:t>
      </w:r>
    </w:p>
    <w:p w14:paraId="4F9F29B0" w14:textId="10009A22" w:rsidR="00804FC9" w:rsidRDefault="003A24FA" w:rsidP="00804FC9">
      <w:r>
        <w:t xml:space="preserve">Social networks can make predictions </w:t>
      </w:r>
      <w:r w:rsidR="001C76BA">
        <w:t>about demographic attributes and behaviors</w:t>
      </w:r>
      <w:r w:rsidR="0029403F">
        <w:t xml:space="preserve"> </w:t>
      </w:r>
      <w:sdt>
        <w:sdtPr>
          <w:rPr>
            <w:color w:val="000000"/>
          </w:rPr>
          <w:tag w:val="MENDELEY_CITATION_v3_eyJjaXRhdGlvbklEIjoiTUVOREVMRVlfQ0lUQVRJT05fNTlmODg3NTQtZjg0Yy00NThiLTgxY2EtZjliNDJiZmEwM2Nl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
          <w:id w:val="1777437000"/>
          <w:placeholder>
            <w:docPart w:val="DefaultPlaceholder_-1854013440"/>
          </w:placeholder>
        </w:sdtPr>
        <w:sdtContent>
          <w:r w:rsidR="00F573E9" w:rsidRPr="00F573E9">
            <w:rPr>
              <w:color w:val="000000"/>
            </w:rPr>
            <w:t>(Goodreau et al. 2009)</w:t>
          </w:r>
        </w:sdtContent>
      </w:sdt>
      <w:r w:rsidR="001C76BA">
        <w:t xml:space="preserve">. </w:t>
      </w:r>
      <w:r w:rsidR="00804FC9">
        <w:t>These are micro-level foundations of population-level relational structure.</w:t>
      </w:r>
    </w:p>
    <w:p w14:paraId="1E6B3BDF" w14:textId="663AC87C" w:rsidR="003A24FA" w:rsidRDefault="00804FC9">
      <w:r>
        <w:t xml:space="preserve">ERGMs model the probability that a relationship exists as a linear function of predictors. While </w:t>
      </w:r>
      <w:proofErr w:type="gramStart"/>
      <w:r>
        <w:t>similar to</w:t>
      </w:r>
      <w:proofErr w:type="gramEnd"/>
      <w:r>
        <w:t xml:space="preserve"> logistic regression, tie probabilities are recursively dependent, requiring computationally intensive statistics. </w:t>
      </w:r>
    </w:p>
    <w:p w14:paraId="7C8F7235" w14:textId="2EBF63C3" w:rsidR="001C76BA" w:rsidRDefault="001C76BA">
      <w:r>
        <w:t xml:space="preserve">Triad closure, a friend of a friend is my friend, researchers measure the excess number of relational triangles. A single triangle count may reflect many social processes, making it dependent on other triangles. </w:t>
      </w:r>
    </w:p>
    <w:p w14:paraId="3698BDC0" w14:textId="78AA58C9" w:rsidR="00BA5461" w:rsidRDefault="00E7593F">
      <w:r>
        <w:t>Sociality</w:t>
      </w:r>
      <w:r w:rsidR="00F02BB9">
        <w:t xml:space="preserve"> is</w:t>
      </w:r>
      <w:r>
        <w:t xml:space="preserve"> a </w:t>
      </w:r>
      <w:r w:rsidR="00F02BB9">
        <w:t>person's</w:t>
      </w:r>
      <w:r>
        <w:t xml:space="preserve"> overall propensity to make friends</w:t>
      </w:r>
      <w:r w:rsidR="00F02BB9">
        <w:t xml:space="preserve">. It's not synonymous with the degree. The degree is the outcome. Sociality is a stochastic process shaped by both sociality and other factors. Highly social categories are disproportionately represented within partnerships. </w:t>
      </w:r>
      <w:r w:rsidR="006610BE">
        <w:t>S</w:t>
      </w:r>
      <w:r w:rsidR="006610BE">
        <w:t xml:space="preserve">ociality </w:t>
      </w:r>
      <w:r w:rsidR="006610BE">
        <w:t xml:space="preserve">is </w:t>
      </w:r>
      <w:r w:rsidR="006610BE">
        <w:t xml:space="preserve">based on counts of </w:t>
      </w:r>
      <w:proofErr w:type="gramStart"/>
      <w:r w:rsidR="006610BE">
        <w:t>ties</w:t>
      </w:r>
      <w:proofErr w:type="gramEnd"/>
      <w:r w:rsidR="006610BE">
        <w:t xml:space="preserve"> observed</w:t>
      </w:r>
      <w:r w:rsidR="003E1FEA">
        <w:t xml:space="preserve">. </w:t>
      </w:r>
      <w:r w:rsidR="00B828F7">
        <w:t>“</w:t>
      </w:r>
      <w:r w:rsidR="00B828F7">
        <w:t>The s term acts as an intercept, and the coefficient for s represents the conditional log-</w:t>
      </w:r>
      <w:r w:rsidR="00B828F7">
        <w:lastRenderedPageBreak/>
        <w:t>odds of a tie for the reference category</w:t>
      </w:r>
      <w:r w:rsidR="00B828F7">
        <w:t>.”</w:t>
      </w:r>
      <w:r w:rsidR="00C477FA">
        <w:t xml:space="preserve"> “</w:t>
      </w:r>
      <w:r w:rsidR="00C477FA">
        <w:t>s represents the log-odds of a tie and thus has the number of non-ties in the denominator, the magnitude of s is directly affected by network density</w:t>
      </w:r>
      <w:r w:rsidR="00A85F28">
        <w:t>.</w:t>
      </w:r>
      <w:r w:rsidR="00C477FA">
        <w:t>”</w:t>
      </w:r>
      <w:r w:rsidR="00A85F28">
        <w:t xml:space="preserve"> “</w:t>
      </w:r>
      <w:proofErr w:type="gramStart"/>
      <w:r w:rsidR="00A85F28">
        <w:t>we</w:t>
      </w:r>
      <w:proofErr w:type="gramEnd"/>
      <w:r w:rsidR="00A85F28">
        <w:t xml:space="preserve"> expect the coefficient on s to decline with school size.</w:t>
      </w:r>
      <w:r w:rsidR="00A85F28">
        <w:t>” [</w:t>
      </w:r>
      <w:r w:rsidR="00FD7AE5">
        <w:t>The edges term!</w:t>
      </w:r>
      <w:r w:rsidR="00A85F28">
        <w:t>]</w:t>
      </w:r>
      <w:r w:rsidR="00090C7C">
        <w:t xml:space="preserve"> “</w:t>
      </w:r>
      <w:r w:rsidR="00090C7C">
        <w:t>The coefficients on the k and h statistics should be invariant to school size because they are defined relative to s.</w:t>
      </w:r>
      <w:r w:rsidR="00090C7C">
        <w:t>”</w:t>
      </w:r>
    </w:p>
    <w:p w14:paraId="366A105C" w14:textId="22E73DB5" w:rsidR="00E7593F" w:rsidRDefault="00F02BB9">
      <w:r>
        <w:t xml:space="preserve">[In the grant network, the variables that </w:t>
      </w:r>
      <w:r w:rsidR="00BA5461">
        <w:t>shape a faculty member’s grant proposal “sociality” include their discipline's need to acquire grant proposals, their experience as a researcher, and their department’s workload policy. Perhaps their personality and other personal factors like physical appearance.</w:t>
      </w:r>
      <w:r w:rsidR="00C957F5">
        <w:t xml:space="preserve"> I do not define these attributes in my thesis, but they might be useful to consider for future projects.</w:t>
      </w:r>
      <w:r w:rsidR="00BA5461">
        <w:t>]</w:t>
      </w:r>
    </w:p>
    <w:p w14:paraId="70D7742E" w14:textId="57DAA89B" w:rsidR="00E7593F" w:rsidRDefault="00E7593F">
      <w:r>
        <w:t xml:space="preserve">Selective mixing: a </w:t>
      </w:r>
      <w:r w:rsidR="00F02BB9">
        <w:t>person's</w:t>
      </w:r>
      <w:r>
        <w:t xml:space="preserve"> propensity to make friends based on </w:t>
      </w:r>
      <w:r w:rsidR="00BA5461">
        <w:t xml:space="preserve">the combination of individual </w:t>
      </w:r>
      <w:r>
        <w:t>attributes</w:t>
      </w:r>
      <w:r w:rsidR="00BA5461">
        <w:t xml:space="preserve">. Assortative mixing (homophily) is when there is a greater propensity to form relationships with those </w:t>
      </w:r>
      <w:proofErr w:type="gramStart"/>
      <w:r w:rsidR="00BA5461">
        <w:t>similar to</w:t>
      </w:r>
      <w:proofErr w:type="gramEnd"/>
      <w:r w:rsidR="00BA5461">
        <w:t xml:space="preserve"> one’s trait. Disassortative mixing (heterophily) is selection by an opposite or different trait. [</w:t>
      </w:r>
      <w:r w:rsidR="00C957F5">
        <w:t>The college and quartile attribute captures this in the grant proposal network.] Homophily is an outcome trait.</w:t>
      </w:r>
      <w:r w:rsidR="003E2C76">
        <w:t xml:space="preserve"> “</w:t>
      </w:r>
      <w:r w:rsidR="003E2C76">
        <w:t>We consider two selective mixing dynamics. The first is a homogeneous propensity for assortative mixing across attribute categories (“uniform homophily”). The second is a propensity that is specific to individual categories (“differential homophily”).</w:t>
      </w:r>
      <w:r w:rsidR="003E2C76">
        <w:t xml:space="preserve">” </w:t>
      </w:r>
      <w:r w:rsidR="00D95583">
        <w:t xml:space="preserve"> [</w:t>
      </w:r>
      <w:r w:rsidR="008705E7">
        <w:t xml:space="preserve">In my study </w:t>
      </w:r>
      <w:r w:rsidR="008705E7">
        <w:t>uniform homophily is used for</w:t>
      </w:r>
      <w:r w:rsidR="008705E7">
        <w:t xml:space="preserve"> </w:t>
      </w:r>
      <w:r w:rsidR="00897410">
        <w:t xml:space="preserve">the </w:t>
      </w:r>
      <w:r w:rsidR="008705E7">
        <w:t xml:space="preserve">College </w:t>
      </w:r>
      <w:r w:rsidR="00897410">
        <w:t xml:space="preserve">term </w:t>
      </w:r>
      <w:r w:rsidR="008705E7">
        <w:t>and there are</w:t>
      </w:r>
      <w:r w:rsidR="006F670B">
        <w:t xml:space="preserve"> only ## types</w:t>
      </w:r>
      <w:r w:rsidR="00C65807">
        <w:t xml:space="preserve"> of colleges</w:t>
      </w:r>
      <w:r w:rsidR="00751A19">
        <w:t>. I use differential homophily on</w:t>
      </w:r>
      <w:r w:rsidR="00A059E1">
        <w:t xml:space="preserve"> the</w:t>
      </w:r>
      <w:r w:rsidR="00751A19">
        <w:t xml:space="preserve"> quartile rank attribute</w:t>
      </w:r>
      <w:r w:rsidR="00A059E1">
        <w:t>.]</w:t>
      </w:r>
    </w:p>
    <w:p w14:paraId="23697848" w14:textId="4AFB5E19" w:rsidR="00E7593F" w:rsidRDefault="00E7593F">
      <w:r>
        <w:t>Triad closure: a person’s friend’s choice of friends</w:t>
      </w:r>
      <w:r w:rsidR="00C957F5">
        <w:t xml:space="preserve">. Three persons form a set. When two persons have ties with one individual, the two tend also to form a tie. </w:t>
      </w:r>
      <w:r w:rsidR="006C072E">
        <w:t>[</w:t>
      </w:r>
      <w:r w:rsidR="00C957F5">
        <w:t xml:space="preserve">If one </w:t>
      </w:r>
      <w:r w:rsidR="006C072E">
        <w:t xml:space="preserve">person proposes two grants with two different people, the two different people tend </w:t>
      </w:r>
      <w:r w:rsidR="00804FC9">
        <w:t>also to propose a grant</w:t>
      </w:r>
      <w:r w:rsidR="00C957F5">
        <w:t xml:space="preserve"> together.</w:t>
      </w:r>
      <w:r w:rsidR="006C072E">
        <w:t xml:space="preserve">] </w:t>
      </w:r>
      <w:r w:rsidR="00E1706B" w:rsidRPr="00E1706B">
        <w:t>structural balance theory.</w:t>
      </w:r>
      <w:r w:rsidR="00E1706B">
        <w:t xml:space="preserve"> Triadic closure is when the two people encounter each other through the shared time with the third person. </w:t>
      </w:r>
      <w:r w:rsidR="006C072E">
        <w:t>This is different from transitivity</w:t>
      </w:r>
      <w:r w:rsidR="00E1706B">
        <w:t>, which is based on s</w:t>
      </w:r>
      <w:r w:rsidR="006C072E">
        <w:t>tructural balance theory</w:t>
      </w:r>
      <w:r w:rsidR="00E1706B">
        <w:t xml:space="preserve">. </w:t>
      </w:r>
      <w:r w:rsidR="00C957F5">
        <w:t xml:space="preserve"> </w:t>
      </w:r>
      <w:r w:rsidR="00E1706B">
        <w:t>In transitivity, a cognitive process causes two people to value each other. [For example, a triad is created</w:t>
      </w:r>
      <w:r w:rsidR="006C072E">
        <w:t xml:space="preserve"> </w:t>
      </w:r>
      <w:r w:rsidR="00C957F5">
        <w:t>due to similar research areas</w:t>
      </w:r>
      <w:r w:rsidR="00E1706B">
        <w:t>.]</w:t>
      </w:r>
      <w:r w:rsidR="00C957F5">
        <w:t xml:space="preserve"> </w:t>
      </w:r>
      <w:r w:rsidR="00C97F96">
        <w:t>GWESP</w:t>
      </w:r>
      <w:r w:rsidR="00A37233">
        <w:t xml:space="preserve"> statistic</w:t>
      </w:r>
    </w:p>
    <w:p w14:paraId="113E65DA" w14:textId="19F7F22B" w:rsidR="00331A29" w:rsidRDefault="00331A29">
      <w:r>
        <w:t>Sociality, h</w:t>
      </w:r>
      <w:r w:rsidR="00E1706B">
        <w:t>omophily</w:t>
      </w:r>
      <w:r w:rsidR="00804FC9">
        <w:t>,</w:t>
      </w:r>
      <w:r w:rsidR="00E1706B">
        <w:t xml:space="preserve"> and transitivity can induce </w:t>
      </w:r>
      <w:r>
        <w:t>one an</w:t>
      </w:r>
      <w:r w:rsidR="00E1706B">
        <w:t>other. Estimates require controlling for the other</w:t>
      </w:r>
      <w:r>
        <w:t>s</w:t>
      </w:r>
      <w:r w:rsidR="00E1706B">
        <w:t xml:space="preserve"> using the attribute composition of all relationships.</w:t>
      </w:r>
    </w:p>
    <w:p w14:paraId="62F5F117" w14:textId="7AFD92DD" w:rsidR="00331A29" w:rsidRDefault="00331A29">
      <w:r>
        <w:t xml:space="preserve">Dyadic independence models only contain node attribute terms and are very similar to traditional logistic models. The probability of a tie does not depend on the value of other ties, only the actors involved. Maximum pseudolikelihood estimation </w:t>
      </w:r>
      <w:r w:rsidR="002A4006">
        <w:t>(</w:t>
      </w:r>
      <w:r w:rsidR="002A4006">
        <w:t>MPLE</w:t>
      </w:r>
      <w:r w:rsidR="002A4006">
        <w:t xml:space="preserve">) </w:t>
      </w:r>
      <w:r>
        <w:t xml:space="preserve">is equivalent to maximum likelihood estimation. </w:t>
      </w:r>
    </w:p>
    <w:p w14:paraId="2A667F34" w14:textId="2E389839" w:rsidR="00331A29" w:rsidRDefault="00331A29">
      <w:r>
        <w:t xml:space="preserve">The endogenous process of tie formation involves dyadic dependence. These are recursive dependencies. </w:t>
      </w:r>
      <w:r w:rsidR="00804FC9">
        <w:t xml:space="preserve">“Markov chain Monte Carlo </w:t>
      </w:r>
      <w:r w:rsidR="002A4006">
        <w:t>(</w:t>
      </w:r>
      <w:r w:rsidR="002A4006">
        <w:t>MCMC</w:t>
      </w:r>
      <w:r w:rsidR="002A4006">
        <w:t xml:space="preserve">) </w:t>
      </w:r>
      <w:r w:rsidR="00804FC9">
        <w:t xml:space="preserve">simulation methods generate a sample from a space of possible networks to estimate a vector.” </w:t>
      </w:r>
    </w:p>
    <w:p w14:paraId="76E174FC" w14:textId="41DE7322" w:rsidR="002A4006" w:rsidRDefault="002A4006">
      <w:r>
        <w:t>[I use MPLE estimation for models with only dyadic independent terms and MCMC estimation for dyadic dependence models. I need to include an explanation in my thesis.]</w:t>
      </w:r>
    </w:p>
    <w:p w14:paraId="66A102EB" w14:textId="6E491202" w:rsidR="00804FC9" w:rsidRDefault="00804FC9">
      <w:r>
        <w:t>“</w:t>
      </w:r>
      <w:proofErr w:type="gramStart"/>
      <w:r>
        <w:t>clustering</w:t>
      </w:r>
      <w:proofErr w:type="gramEnd"/>
      <w:r>
        <w:t xml:space="preserve"> in networks is often represented as a tendency to close triangles” The clustering coefficient tells of the number of triangles divided by the number of triads with two </w:t>
      </w:r>
      <w:proofErr w:type="gramStart"/>
      <w:r>
        <w:t>of</w:t>
      </w:r>
      <w:proofErr w:type="gramEnd"/>
      <w:r>
        <w:t xml:space="preserve"> more ties. </w:t>
      </w:r>
    </w:p>
    <w:p w14:paraId="5B7E2DAE" w14:textId="7DC579B3" w:rsidR="00804FC9" w:rsidRDefault="00804FC9">
      <w:r>
        <w:t>Model degeneracy occurs when we specify a model that is unlikely to produce the observed network.</w:t>
      </w:r>
      <w:r w:rsidR="00C904F3">
        <w:t xml:space="preserve"> Specify a </w:t>
      </w:r>
      <w:r w:rsidR="00E947E1">
        <w:t>better-fitting</w:t>
      </w:r>
      <w:r w:rsidR="00C904F3">
        <w:t xml:space="preserve"> model. </w:t>
      </w:r>
    </w:p>
    <w:p w14:paraId="4F3B1770" w14:textId="2E2AE64E" w:rsidR="00804FC9" w:rsidRDefault="0090344F">
      <w:r>
        <w:lastRenderedPageBreak/>
        <w:t>Geometrically weighted edgewise shared partner distribution (GWESP)</w:t>
      </w:r>
      <w:r w:rsidR="000B0989">
        <w:t xml:space="preserve"> captures a decreasing marginal impact in the effect of triangles on tie formation. </w:t>
      </w:r>
      <w:r w:rsidR="00D82256">
        <w:t>“</w:t>
      </w:r>
      <w:r w:rsidR="00A9166C">
        <w:t>Two actors “share” a partner if both have a tie to the same partner, and each shared partner forms a triangle if the original pair are tied.</w:t>
      </w:r>
      <w:r w:rsidR="00A9166C">
        <w:t>” “</w:t>
      </w:r>
      <w:r w:rsidR="00490D79">
        <w:t xml:space="preserve">The GWESP statistic defines a parametric form of </w:t>
      </w:r>
      <w:r w:rsidR="00963B93">
        <w:t>a</w:t>
      </w:r>
      <w:r w:rsidR="00490D79">
        <w:t xml:space="preserve"> shar</w:t>
      </w:r>
      <w:r w:rsidR="00963B93">
        <w:t>ed partner</w:t>
      </w:r>
      <w:r w:rsidR="00490D79">
        <w:t xml:space="preserve"> count distribution that gives</w:t>
      </w:r>
      <w:r w:rsidR="00490D79">
        <w:t xml:space="preserve"> </w:t>
      </w:r>
      <w:r w:rsidR="00490D79">
        <w:t>each additional shared partner a declining positive impact on the probability of two persons forming a tie.</w:t>
      </w:r>
    </w:p>
    <w:p w14:paraId="4CBD3477" w14:textId="05B4222C" w:rsidR="00F02BB9" w:rsidRDefault="002061D7">
      <w:r>
        <w:t>“</w:t>
      </w:r>
      <w:r w:rsidR="00EC785B">
        <w:t>We consider three models based upon this set of statistics: a demographic attribute (DA) model that considers only attribute-based, dyadic-independent processes (s, k</w:t>
      </w:r>
      <w:r w:rsidR="00EC785B" w:rsidRPr="002C51DC">
        <w:rPr>
          <w:vertAlign w:val="subscript"/>
        </w:rPr>
        <w:t>i</w:t>
      </w:r>
      <w:r w:rsidR="00EC785B">
        <w:t xml:space="preserve">, </w:t>
      </w:r>
      <w:r w:rsidR="002C51DC">
        <w:t>h</w:t>
      </w:r>
      <w:r w:rsidR="002C51DC" w:rsidRPr="002C51DC">
        <w:rPr>
          <w:vertAlign w:val="subscript"/>
        </w:rPr>
        <w:t>i</w:t>
      </w:r>
      <w:r w:rsidR="002C51DC">
        <w:t>)</w:t>
      </w:r>
      <w:r w:rsidR="00EC785B">
        <w:t>; a triad closure (TC) model that considers only a homogeneous, dyadic-dependent process (s, w); and a full model combining the two (s, k</w:t>
      </w:r>
      <w:r w:rsidR="00EC785B" w:rsidRPr="002C51DC">
        <w:rPr>
          <w:vertAlign w:val="subscript"/>
        </w:rPr>
        <w:t>i</w:t>
      </w:r>
      <w:r w:rsidR="00EC785B">
        <w:t>, h</w:t>
      </w:r>
      <w:r w:rsidR="00EC785B" w:rsidRPr="002C51DC">
        <w:rPr>
          <w:vertAlign w:val="subscript"/>
        </w:rPr>
        <w:t>i</w:t>
      </w:r>
      <w:r w:rsidR="00EC785B">
        <w:t>, w).</w:t>
      </w:r>
      <w:r w:rsidR="00EC785B">
        <w:t>” “</w:t>
      </w:r>
      <w:r w:rsidR="00EC785B">
        <w:t>Our hypothesis is that selective mixing and triad closure terms (h</w:t>
      </w:r>
      <w:r w:rsidR="00EC785B" w:rsidRPr="002C51DC">
        <w:rPr>
          <w:vertAlign w:val="subscript"/>
        </w:rPr>
        <w:t>i</w:t>
      </w:r>
      <w:r w:rsidR="00EC785B">
        <w:t>, w) will be positive in all models.</w:t>
      </w:r>
      <w:r w:rsidR="00EC785B">
        <w:t>”</w:t>
      </w:r>
      <w:r w:rsidR="003F57EE">
        <w:t xml:space="preserve"> “</w:t>
      </w:r>
      <w:r w:rsidR="003F57EE">
        <w:t>We also expect that both selective mixing and triad closure are important to friendship formation, so we expect the full model to fit better than either partial model.</w:t>
      </w:r>
      <w:r w:rsidR="003F57EE">
        <w:t>”</w:t>
      </w:r>
      <w:r w:rsidR="00794F28">
        <w:t xml:space="preserve"> “</w:t>
      </w:r>
      <w:r w:rsidR="00794F28">
        <w:t>Because the full model fits best for all individual schools, we consider its coefficients to be our best estimates for the true magnitude of sociality, selective mixing, and triad closure.</w:t>
      </w:r>
      <w:r w:rsidR="00794F28">
        <w:t>”</w:t>
      </w:r>
      <w:r w:rsidR="002C51DC">
        <w:t xml:space="preserve"> </w:t>
      </w:r>
    </w:p>
    <w:p w14:paraId="4E4CBCF9" w14:textId="5FCCE662" w:rsidR="005D0CB8" w:rsidRDefault="007F03DE">
      <w:r>
        <w:t xml:space="preserve">Goodness of fit: </w:t>
      </w:r>
    </w:p>
    <w:p w14:paraId="3C6ECB31" w14:textId="77777777" w:rsidR="007F06DB" w:rsidRDefault="007F06DB"/>
    <w:p w14:paraId="623801DE" w14:textId="77777777" w:rsidR="00F40552" w:rsidRDefault="00F40552"/>
    <w:p w14:paraId="0A438DFD" w14:textId="77777777" w:rsidR="00F40552" w:rsidRDefault="00F40552"/>
    <w:sectPr w:rsidR="00F40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FA"/>
    <w:rsid w:val="00003682"/>
    <w:rsid w:val="0007217B"/>
    <w:rsid w:val="00090C7C"/>
    <w:rsid w:val="000B0717"/>
    <w:rsid w:val="000B0989"/>
    <w:rsid w:val="000B5670"/>
    <w:rsid w:val="000F6BCD"/>
    <w:rsid w:val="00114BB2"/>
    <w:rsid w:val="00123A10"/>
    <w:rsid w:val="001367CA"/>
    <w:rsid w:val="001549DE"/>
    <w:rsid w:val="001A7A92"/>
    <w:rsid w:val="001C76BA"/>
    <w:rsid w:val="001D7803"/>
    <w:rsid w:val="002061D7"/>
    <w:rsid w:val="002273DB"/>
    <w:rsid w:val="00275384"/>
    <w:rsid w:val="0029403F"/>
    <w:rsid w:val="002A12CD"/>
    <w:rsid w:val="002A4006"/>
    <w:rsid w:val="002A5B10"/>
    <w:rsid w:val="002C51DC"/>
    <w:rsid w:val="00331A29"/>
    <w:rsid w:val="003A24FA"/>
    <w:rsid w:val="003E1FEA"/>
    <w:rsid w:val="003E2C76"/>
    <w:rsid w:val="003F57EE"/>
    <w:rsid w:val="00420A72"/>
    <w:rsid w:val="00424510"/>
    <w:rsid w:val="004304D4"/>
    <w:rsid w:val="00490D79"/>
    <w:rsid w:val="00550B39"/>
    <w:rsid w:val="005D0CB8"/>
    <w:rsid w:val="005F0B0C"/>
    <w:rsid w:val="006610BE"/>
    <w:rsid w:val="00686033"/>
    <w:rsid w:val="006C072E"/>
    <w:rsid w:val="006C701D"/>
    <w:rsid w:val="006F670B"/>
    <w:rsid w:val="00751A19"/>
    <w:rsid w:val="00794F28"/>
    <w:rsid w:val="007F03DE"/>
    <w:rsid w:val="007F06DB"/>
    <w:rsid w:val="00804FC9"/>
    <w:rsid w:val="0081137E"/>
    <w:rsid w:val="0085278D"/>
    <w:rsid w:val="008705E7"/>
    <w:rsid w:val="00897410"/>
    <w:rsid w:val="00897424"/>
    <w:rsid w:val="0090344F"/>
    <w:rsid w:val="00963B93"/>
    <w:rsid w:val="009D752A"/>
    <w:rsid w:val="00A059E1"/>
    <w:rsid w:val="00A37233"/>
    <w:rsid w:val="00A60CCE"/>
    <w:rsid w:val="00A85F28"/>
    <w:rsid w:val="00A9166C"/>
    <w:rsid w:val="00AF6563"/>
    <w:rsid w:val="00B50899"/>
    <w:rsid w:val="00B63CD8"/>
    <w:rsid w:val="00B828F7"/>
    <w:rsid w:val="00BA5461"/>
    <w:rsid w:val="00C229C2"/>
    <w:rsid w:val="00C477FA"/>
    <w:rsid w:val="00C65807"/>
    <w:rsid w:val="00C7779A"/>
    <w:rsid w:val="00C904F3"/>
    <w:rsid w:val="00C957F5"/>
    <w:rsid w:val="00C97F96"/>
    <w:rsid w:val="00D82256"/>
    <w:rsid w:val="00D95583"/>
    <w:rsid w:val="00E0603D"/>
    <w:rsid w:val="00E1706B"/>
    <w:rsid w:val="00E7593F"/>
    <w:rsid w:val="00E9340E"/>
    <w:rsid w:val="00E947E1"/>
    <w:rsid w:val="00EC785B"/>
    <w:rsid w:val="00F02BB9"/>
    <w:rsid w:val="00F04C28"/>
    <w:rsid w:val="00F11438"/>
    <w:rsid w:val="00F40552"/>
    <w:rsid w:val="00F548CD"/>
    <w:rsid w:val="00F573E9"/>
    <w:rsid w:val="00F73096"/>
    <w:rsid w:val="00F74737"/>
    <w:rsid w:val="00FD14EB"/>
    <w:rsid w:val="00FD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B36AF6"/>
  <w15:chartTrackingRefBased/>
  <w15:docId w15:val="{EA7473CC-A367-453F-AD70-13193987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24F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12735">
      <w:bodyDiv w:val="1"/>
      <w:marLeft w:val="0"/>
      <w:marRight w:val="0"/>
      <w:marTop w:val="0"/>
      <w:marBottom w:val="0"/>
      <w:divBdr>
        <w:top w:val="none" w:sz="0" w:space="0" w:color="auto"/>
        <w:left w:val="none" w:sz="0" w:space="0" w:color="auto"/>
        <w:bottom w:val="none" w:sz="0" w:space="0" w:color="auto"/>
        <w:right w:val="none" w:sz="0" w:space="0" w:color="auto"/>
      </w:divBdr>
      <w:divsChild>
        <w:div w:id="168057289">
          <w:marLeft w:val="480"/>
          <w:marRight w:val="0"/>
          <w:marTop w:val="0"/>
          <w:marBottom w:val="0"/>
          <w:divBdr>
            <w:top w:val="none" w:sz="0" w:space="0" w:color="auto"/>
            <w:left w:val="none" w:sz="0" w:space="0" w:color="auto"/>
            <w:bottom w:val="none" w:sz="0" w:space="0" w:color="auto"/>
            <w:right w:val="none" w:sz="0" w:space="0" w:color="auto"/>
          </w:divBdr>
        </w:div>
      </w:divsChild>
    </w:div>
    <w:div w:id="175317465">
      <w:bodyDiv w:val="1"/>
      <w:marLeft w:val="0"/>
      <w:marRight w:val="0"/>
      <w:marTop w:val="0"/>
      <w:marBottom w:val="0"/>
      <w:divBdr>
        <w:top w:val="none" w:sz="0" w:space="0" w:color="auto"/>
        <w:left w:val="none" w:sz="0" w:space="0" w:color="auto"/>
        <w:bottom w:val="none" w:sz="0" w:space="0" w:color="auto"/>
        <w:right w:val="none" w:sz="0" w:space="0" w:color="auto"/>
      </w:divBdr>
      <w:divsChild>
        <w:div w:id="1773163980">
          <w:marLeft w:val="480"/>
          <w:marRight w:val="0"/>
          <w:marTop w:val="0"/>
          <w:marBottom w:val="0"/>
          <w:divBdr>
            <w:top w:val="none" w:sz="0" w:space="0" w:color="auto"/>
            <w:left w:val="none" w:sz="0" w:space="0" w:color="auto"/>
            <w:bottom w:val="none" w:sz="0" w:space="0" w:color="auto"/>
            <w:right w:val="none" w:sz="0" w:space="0" w:color="auto"/>
          </w:divBdr>
        </w:div>
      </w:divsChild>
    </w:div>
    <w:div w:id="404497811">
      <w:bodyDiv w:val="1"/>
      <w:marLeft w:val="0"/>
      <w:marRight w:val="0"/>
      <w:marTop w:val="0"/>
      <w:marBottom w:val="0"/>
      <w:divBdr>
        <w:top w:val="none" w:sz="0" w:space="0" w:color="auto"/>
        <w:left w:val="none" w:sz="0" w:space="0" w:color="auto"/>
        <w:bottom w:val="none" w:sz="0" w:space="0" w:color="auto"/>
        <w:right w:val="none" w:sz="0" w:space="0" w:color="auto"/>
      </w:divBdr>
      <w:divsChild>
        <w:div w:id="811404009">
          <w:marLeft w:val="480"/>
          <w:marRight w:val="0"/>
          <w:marTop w:val="0"/>
          <w:marBottom w:val="0"/>
          <w:divBdr>
            <w:top w:val="none" w:sz="0" w:space="0" w:color="auto"/>
            <w:left w:val="none" w:sz="0" w:space="0" w:color="auto"/>
            <w:bottom w:val="none" w:sz="0" w:space="0" w:color="auto"/>
            <w:right w:val="none" w:sz="0" w:space="0" w:color="auto"/>
          </w:divBdr>
        </w:div>
      </w:divsChild>
    </w:div>
    <w:div w:id="508909004">
      <w:bodyDiv w:val="1"/>
      <w:marLeft w:val="0"/>
      <w:marRight w:val="0"/>
      <w:marTop w:val="0"/>
      <w:marBottom w:val="0"/>
      <w:divBdr>
        <w:top w:val="none" w:sz="0" w:space="0" w:color="auto"/>
        <w:left w:val="none" w:sz="0" w:space="0" w:color="auto"/>
        <w:bottom w:val="none" w:sz="0" w:space="0" w:color="auto"/>
        <w:right w:val="none" w:sz="0" w:space="0" w:color="auto"/>
      </w:divBdr>
      <w:divsChild>
        <w:div w:id="1392463081">
          <w:marLeft w:val="480"/>
          <w:marRight w:val="0"/>
          <w:marTop w:val="0"/>
          <w:marBottom w:val="0"/>
          <w:divBdr>
            <w:top w:val="none" w:sz="0" w:space="0" w:color="auto"/>
            <w:left w:val="none" w:sz="0" w:space="0" w:color="auto"/>
            <w:bottom w:val="none" w:sz="0" w:space="0" w:color="auto"/>
            <w:right w:val="none" w:sz="0" w:space="0" w:color="auto"/>
          </w:divBdr>
        </w:div>
      </w:divsChild>
    </w:div>
    <w:div w:id="572787282">
      <w:bodyDiv w:val="1"/>
      <w:marLeft w:val="0"/>
      <w:marRight w:val="0"/>
      <w:marTop w:val="0"/>
      <w:marBottom w:val="0"/>
      <w:divBdr>
        <w:top w:val="none" w:sz="0" w:space="0" w:color="auto"/>
        <w:left w:val="none" w:sz="0" w:space="0" w:color="auto"/>
        <w:bottom w:val="none" w:sz="0" w:space="0" w:color="auto"/>
        <w:right w:val="none" w:sz="0" w:space="0" w:color="auto"/>
      </w:divBdr>
      <w:divsChild>
        <w:div w:id="1076051399">
          <w:marLeft w:val="480"/>
          <w:marRight w:val="0"/>
          <w:marTop w:val="0"/>
          <w:marBottom w:val="0"/>
          <w:divBdr>
            <w:top w:val="none" w:sz="0" w:space="0" w:color="auto"/>
            <w:left w:val="none" w:sz="0" w:space="0" w:color="auto"/>
            <w:bottom w:val="none" w:sz="0" w:space="0" w:color="auto"/>
            <w:right w:val="none" w:sz="0" w:space="0" w:color="auto"/>
          </w:divBdr>
        </w:div>
      </w:divsChild>
    </w:div>
    <w:div w:id="962729480">
      <w:bodyDiv w:val="1"/>
      <w:marLeft w:val="0"/>
      <w:marRight w:val="0"/>
      <w:marTop w:val="0"/>
      <w:marBottom w:val="0"/>
      <w:divBdr>
        <w:top w:val="none" w:sz="0" w:space="0" w:color="auto"/>
        <w:left w:val="none" w:sz="0" w:space="0" w:color="auto"/>
        <w:bottom w:val="none" w:sz="0" w:space="0" w:color="auto"/>
        <w:right w:val="none" w:sz="0" w:space="0" w:color="auto"/>
      </w:divBdr>
      <w:divsChild>
        <w:div w:id="36011432">
          <w:marLeft w:val="480"/>
          <w:marRight w:val="0"/>
          <w:marTop w:val="0"/>
          <w:marBottom w:val="0"/>
          <w:divBdr>
            <w:top w:val="none" w:sz="0" w:space="0" w:color="auto"/>
            <w:left w:val="none" w:sz="0" w:space="0" w:color="auto"/>
            <w:bottom w:val="none" w:sz="0" w:space="0" w:color="auto"/>
            <w:right w:val="none" w:sz="0" w:space="0" w:color="auto"/>
          </w:divBdr>
        </w:div>
      </w:divsChild>
    </w:div>
    <w:div w:id="1050542748">
      <w:bodyDiv w:val="1"/>
      <w:marLeft w:val="0"/>
      <w:marRight w:val="0"/>
      <w:marTop w:val="0"/>
      <w:marBottom w:val="0"/>
      <w:divBdr>
        <w:top w:val="none" w:sz="0" w:space="0" w:color="auto"/>
        <w:left w:val="none" w:sz="0" w:space="0" w:color="auto"/>
        <w:bottom w:val="none" w:sz="0" w:space="0" w:color="auto"/>
        <w:right w:val="none" w:sz="0" w:space="0" w:color="auto"/>
      </w:divBdr>
      <w:divsChild>
        <w:div w:id="753477029">
          <w:marLeft w:val="480"/>
          <w:marRight w:val="0"/>
          <w:marTop w:val="0"/>
          <w:marBottom w:val="0"/>
          <w:divBdr>
            <w:top w:val="none" w:sz="0" w:space="0" w:color="auto"/>
            <w:left w:val="none" w:sz="0" w:space="0" w:color="auto"/>
            <w:bottom w:val="none" w:sz="0" w:space="0" w:color="auto"/>
            <w:right w:val="none" w:sz="0" w:space="0" w:color="auto"/>
          </w:divBdr>
        </w:div>
      </w:divsChild>
    </w:div>
    <w:div w:id="1663435702">
      <w:bodyDiv w:val="1"/>
      <w:marLeft w:val="0"/>
      <w:marRight w:val="0"/>
      <w:marTop w:val="0"/>
      <w:marBottom w:val="0"/>
      <w:divBdr>
        <w:top w:val="none" w:sz="0" w:space="0" w:color="auto"/>
        <w:left w:val="none" w:sz="0" w:space="0" w:color="auto"/>
        <w:bottom w:val="none" w:sz="0" w:space="0" w:color="auto"/>
        <w:right w:val="none" w:sz="0" w:space="0" w:color="auto"/>
      </w:divBdr>
      <w:divsChild>
        <w:div w:id="830676633">
          <w:marLeft w:val="480"/>
          <w:marRight w:val="0"/>
          <w:marTop w:val="0"/>
          <w:marBottom w:val="0"/>
          <w:divBdr>
            <w:top w:val="none" w:sz="0" w:space="0" w:color="auto"/>
            <w:left w:val="none" w:sz="0" w:space="0" w:color="auto"/>
            <w:bottom w:val="none" w:sz="0" w:space="0" w:color="auto"/>
            <w:right w:val="none" w:sz="0" w:space="0" w:color="auto"/>
          </w:divBdr>
        </w:div>
      </w:divsChild>
    </w:div>
    <w:div w:id="2114813037">
      <w:bodyDiv w:val="1"/>
      <w:marLeft w:val="0"/>
      <w:marRight w:val="0"/>
      <w:marTop w:val="0"/>
      <w:marBottom w:val="0"/>
      <w:divBdr>
        <w:top w:val="none" w:sz="0" w:space="0" w:color="auto"/>
        <w:left w:val="none" w:sz="0" w:space="0" w:color="auto"/>
        <w:bottom w:val="none" w:sz="0" w:space="0" w:color="auto"/>
        <w:right w:val="none" w:sz="0" w:space="0" w:color="auto"/>
      </w:divBdr>
      <w:divsChild>
        <w:div w:id="6104749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BBA7D15-AD1F-4C57-8DB7-5E494B6875FD}"/>
      </w:docPartPr>
      <w:docPartBody>
        <w:p w:rsidR="00675B3C" w:rsidRDefault="00675B3C">
          <w:r w:rsidRPr="00D77A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3C"/>
    <w:rsid w:val="00675B3C"/>
    <w:rsid w:val="00F7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5B3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24E4F9-D05F-4673-B228-588EEC1C8638}">
  <we:reference id="wa104382081" version="1.55.1.0" store="en-US" storeType="OMEX"/>
  <we:alternateReferences>
    <we:reference id="wa104382081" version="1.55.1.0" store="" storeType="OMEX"/>
  </we:alternateReferences>
  <we:properties>
    <we:property name="MENDELEY_CITATIONS" value="[{&quot;citationID&quot;:&quot;MENDELEY_CITATION_cfdf41aa-d0a7-4f45-b641-64f8d39d1592&quot;,&quot;properties&quot;:{&quot;noteIndex&quot;:0},&quot;isEdited&quot;:false,&quot;manualOverride&quot;:{&quot;isManuallyOverridden&quot;:false,&quot;citeprocText&quot;:&quot;(Goodreau et al. 2009)&quot;,&quot;manualOverrideText&quot;:&quot;&quot;},&quot;citationTag&quot;:&quot;MENDELEY_CITATION_v3_eyJjaXRhdGlvbklEIjoiTUVOREVMRVlfQ0lUQVRJT05fY2ZkZjQxYWEtZDBhNy00ZjQ1LWI2NDEtNjRmOGQzOWQxNTky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quot;,&quot;citationItems&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citationID&quot;:&quot;MENDELEY_CITATION_6d55c232-1c49-4550-882e-cddd6d1fdd17&quot;,&quot;properties&quot;:{&quot;noteIndex&quot;:0,&quot;mode&quot;:&quot;composite&quot;},&quot;isEdited&quot;:false,&quot;manualOverride&quot;:{&quot;isManuallyOverridden&quot;:false,&quot;citeprocText&quot;:&quot;Goodreau et al. (2009)&quot;,&quot;manualOverrideText&quot;:&quot;&quot;},&quot;citationTag&quot;:&quot;MENDELEY_CITATION_v3_eyJjaXRhdGlvbklEIjoiTUVOREVMRVlfQ0lUQVRJT05fNmQ1NWMyMzItMWM0OS00NTUwLTg4MmUtY2RkZDZkMWZkZDE3IiwicHJvcGVydGllcyI6eyJub3RlSW5kZXgiOjAsIm1vZGUiOiJjb21wb3NpdGUifSwiaXNFZGl0ZWQiOmZhbHNlLCJtYW51YWxPdmVycmlkZSI6eyJpc01hbnVhbGx5T3ZlcnJpZGRlbiI6ZmFsc2UsImNpdGVwcm9jVGV4dCI6Ikdvb2RyZWF1IGV0IGFsLiAoMjAwOSkiLCJtYW51YWxPdmVycmlkZVRleHQiOiIifSwiY2l0YXRpb25JdGVtcyI6W3siZGlzcGxheUFzIjoiY29tcG9zaXRl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0cnVlLCJhdXRob3Itb25seSI6ZmFsc2V9XX0=&quot;,&quot;citationItems&quot;:[{&quot;displayAs&quot;:&quot;composite&quot;,&quot;label&quot;:&quot;page&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suppress-author&quot;:false,&quot;composite&quot;:true,&quot;author-only&quot;:false}]},{&quot;citationID&quot;:&quot;MENDELEY_CITATION_ebcb6fed-52c7-47b6-87aa-ea8cf0aeb2f7&quot;,&quot;properties&quot;:{&quot;noteIndex&quot;:0},&quot;isEdited&quot;:false,&quot;manualOverride&quot;:{&quot;isManuallyOverridden&quot;:false,&quot;citeprocText&quot;:&quot;(Goodreau et al. 2009)&quot;,&quot;manualOverrideText&quot;:&quot;&quot;},&quot;citationTag&quot;:&quot;MENDELEY_CITATION_v3_eyJjaXRhdGlvbklEIjoiTUVOREVMRVlfQ0lUQVRJT05fZWJjYjZmZWQtNTJjNy00N2I2LTg3YWEtZWE4Y2YwYWViMmY3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quot;,&quot;citationItems&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citationID&quot;:&quot;MENDELEY_CITATION_eb5ea48b-a433-4183-8cc3-13ebf254be2a&quot;,&quot;properties&quot;:{&quot;noteIndex&quot;:0,&quot;mode&quot;:&quot;author-only&quot;},&quot;isEdited&quot;:false,&quot;manualOverride&quot;:{&quot;isManuallyOverridden&quot;:false,&quot;citeprocText&quot;:&quot;Goodreau et al.&quot;,&quot;manualOverrideText&quot;:&quot;&quot;},&quot;citationTag&quot;:&quot;MENDELEY_CITATION_v3_eyJjaXRhdGlvbklEIjoiTUVOREVMRVlfQ0lUQVRJT05fZWI1ZWE0OGItYTQzMy00MTgzLThjYzMtMTNlYmYyNTRiZTJhIiwicHJvcGVydGllcyI6eyJub3RlSW5kZXgiOjAsIm1vZGUiOiJhdXRob3Itb25seSJ9LCJpc0VkaXRlZCI6ZmFsc2UsIm1hbnVhbE92ZXJyaWRlIjp7ImlzTWFudWFsbHlPdmVycmlkZGVuIjpmYWxzZSwiY2l0ZXByb2NUZXh0IjoiR29vZHJlYXUgZXQgYWwuIiwibWFudWFsT3ZlcnJpZGVUZXh0IjoiIn0sImNpdGF0aW9uSXRlbXMiOlt7ImRpc3BsYXlBcyI6ImF1dGhvci1vbmx5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mYWxzZSwiYXV0aG9yLW9ubHkiOnRydWV9XX0=&quot;,&quot;citationItems&quot;:[{&quot;displayAs&quot;:&quot;author-only&quot;,&quot;label&quot;:&quot;page&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suppress-author&quot;:false,&quot;composite&quot;:false,&quot;author-only&quot;:true}]},{&quot;citationID&quot;:&quot;MENDELEY_CITATION_9f14a2c8-998e-41cb-b314-f5c2315333fd&quot;,&quot;properties&quot;:{&quot;noteIndex&quot;:0,&quot;mode&quot;:&quot;composite&quot;},&quot;isEdited&quot;:false,&quot;manualOverride&quot;:{&quot;isManuallyOverridden&quot;:false,&quot;citeprocText&quot;:&quot;Goodreau et al. (2009)&quot;,&quot;manualOverrideText&quot;:&quot;&quot;},&quot;citationTag&quot;:&quot;MENDELEY_CITATION_v3_eyJjaXRhdGlvbklEIjoiTUVOREVMRVlfQ0lUQVRJT05fOWYxNGEyYzgtOTk4ZS00MWNiLWIzMTQtZjVjMjMxNTMzM2ZkIiwicHJvcGVydGllcyI6eyJub3RlSW5kZXgiOjAsIm1vZGUiOiJjb21wb3NpdGUifSwiaXNFZGl0ZWQiOmZhbHNlLCJtYW51YWxPdmVycmlkZSI6eyJpc01hbnVhbGx5T3ZlcnJpZGRlbiI6ZmFsc2UsImNpdGVwcm9jVGV4dCI6Ikdvb2RyZWF1IGV0IGFsLiAoMjAwOSkiLCJtYW51YWxPdmVycmlkZVRleHQiOiIifSwiY2l0YXRpb25JdGVtcyI6W3siZGlzcGxheUFzIjoiY29tcG9zaXRl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0cnVlLCJhdXRob3Itb25seSI6ZmFsc2V9XX0=&quot;,&quot;citationItems&quot;:[{&quot;displayAs&quot;:&quot;composite&quot;,&quot;label&quot;:&quot;page&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suppress-author&quot;:false,&quot;composite&quot;:true,&quot;author-only&quot;:false}]},{&quot;citationID&quot;:&quot;MENDELEY_CITATION_59f88754-f84c-458b-81ca-f9b42bfa03ce&quot;,&quot;properties&quot;:{&quot;noteIndex&quot;:0},&quot;isEdited&quot;:false,&quot;manualOverride&quot;:{&quot;isManuallyOverridden&quot;:false,&quot;citeprocText&quot;:&quot;(Goodreau et al. 2009)&quot;,&quot;manualOverrideText&quot;:&quot;&quot;},&quot;citationTag&quot;:&quot;MENDELEY_CITATION_v3_eyJjaXRhdGlvbklEIjoiTUVOREVMRVlfQ0lUQVRJT05fNTlmODg3NTQtZjg0Yy00NThiLTgxY2EtZjliNDJiZmEwM2Nl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quot;,&quot;citationItems&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76719-5D1D-44BC-A2A8-DE2C0A9F3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3</Pages>
  <Words>1186</Words>
  <Characters>6706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76</cp:revision>
  <dcterms:created xsi:type="dcterms:W3CDTF">2024-01-24T23:59:00Z</dcterms:created>
  <dcterms:modified xsi:type="dcterms:W3CDTF">2024-01-26T23:47:00Z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c79af48a-a3fe-46f5-ad2a-355d1c2b23bc</vt:lpwstr>
  </property>
</Properties>
</file>