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FB4F" w14:textId="3592564F" w:rsidR="00AD42DF" w:rsidRDefault="00AD42DF" w:rsidP="00AD42DF">
      <w:r>
        <w:t xml:space="preserve">Turn this into </w:t>
      </w:r>
      <w:r w:rsidR="006E1DA9">
        <w:t xml:space="preserve">an approximate </w:t>
      </w:r>
      <w:proofErr w:type="gramStart"/>
      <w:r w:rsidR="006E1DA9">
        <w:t>500 word</w:t>
      </w:r>
      <w:proofErr w:type="gramEnd"/>
      <w:r w:rsidR="006E1DA9">
        <w:t xml:space="preserve"> </w:t>
      </w:r>
      <w:r>
        <w:t xml:space="preserve">conclusion: </w:t>
      </w:r>
    </w:p>
    <w:p w14:paraId="20E73AF7" w14:textId="77777777" w:rsidR="00AD42DF" w:rsidRDefault="00AD42DF" w:rsidP="00AD42DF">
      <w:r>
        <w:t xml:space="preserve">The grant proposal writing experience, encapsulated by the historical grant proposal network, served as a foundational element in assessing Team J's scientific productivity. This component not only evaluates the team's ability to secure funding—a crucial aspect of academic research—but also reflects on their strategic approach to framing and communicating research objectives and methodologies in a competitive environment. </w:t>
      </w:r>
    </w:p>
    <w:p w14:paraId="64E9F01E" w14:textId="77777777" w:rsidR="004A51E7" w:rsidRDefault="004A51E7" w:rsidP="004A51E7">
      <w:r>
        <w:t>“</w:t>
      </w:r>
      <w:r>
        <w:t xml:space="preserve">The GCs initiative aims to bolster grant proposal output across teams, viewing this metric as a crucial indicator of scientific productivity and collaborative efficacy. The historical grant proposal data gauges team collaborative grant proposal production.  </w:t>
      </w:r>
    </w:p>
    <w:p w14:paraId="075A95B4" w14:textId="432CE19D" w:rsidR="004A51E7" w:rsidRDefault="004A51E7" w:rsidP="004A51E7">
      <w:r>
        <w:t xml:space="preserve">A longitudinal perspective on team dynamics and grant proposal activities will offer a lens through which the evolution of scientific productivity can be observed. This approach not only provides a benchmark for assessing future productivity enhancements but also illuminates the diverse experiences team members bring to the table. Such insights are vital for crafting strategies that leverage individual strengths, promote effective mentorship, and ensure experience diversity. </w:t>
      </w:r>
    </w:p>
    <w:p w14:paraId="2E5942A6" w14:textId="200C7209" w:rsidR="004A51E7" w:rsidRDefault="004A51E7" w:rsidP="004A51E7">
      <w:r>
        <w:t>The analysis of historical grant proposal data has highlighted significant outcomes and offered insights into the dynamics of collaborative grant writing within Team J. A key observation is the variability in members' experiences with collaborative grant proposals, emphasizing the essential role of mentorship in enhancing scientific productivity \</w:t>
      </w:r>
      <w:proofErr w:type="spellStart"/>
      <w:proofErr w:type="gramStart"/>
      <w:r>
        <w:t>citep</w:t>
      </w:r>
      <w:proofErr w:type="spellEnd"/>
      <w:r>
        <w:t>{</w:t>
      </w:r>
      <w:proofErr w:type="gramEnd"/>
      <w:r>
        <w:t>Norton2017}. Specifically, the absence of grant proposal involvement by the Clinical Professor from 2016 to 2020, contrasted with Professor 2's highly active participation in collaborative grant writing, illustrates the diversity of experience within the team. This disparity not only reflects the potential for mentorship to bridge gaps in experience but also aligns with the GCs initiative's goal of fostering a collaborative and equitable research environment at Boise State \</w:t>
      </w:r>
      <w:proofErr w:type="spellStart"/>
      <w:proofErr w:type="gramStart"/>
      <w:r>
        <w:t>citep</w:t>
      </w:r>
      <w:proofErr w:type="spellEnd"/>
      <w:r>
        <w:t>{</w:t>
      </w:r>
      <w:proofErr w:type="gramEnd"/>
      <w:r>
        <w:t>BSUgoals2024}.</w:t>
      </w:r>
    </w:p>
    <w:p w14:paraId="161864CF" w14:textId="2A797D42" w:rsidR="004A51E7" w:rsidRDefault="004A51E7" w:rsidP="004A51E7">
      <w:r>
        <w:t>The findings suggest that strategic investments in team development can lead to an increase in grant proposal production. Team J's ability to lead successful grant proposals is significantly bolstered by its composition, which combines the expertise of seasoned scholars with the fresh perspectives of emerging talents. This mix promotes a mentorship-rich environment \</w:t>
      </w:r>
      <w:proofErr w:type="spellStart"/>
      <w:r>
        <w:t>citep</w:t>
      </w:r>
      <w:proofErr w:type="spellEnd"/>
      <w:r>
        <w:t>[p.~</w:t>
      </w:r>
      <w:proofErr w:type="gramStart"/>
      <w:r>
        <w:t>274]{</w:t>
      </w:r>
      <w:proofErr w:type="gramEnd"/>
      <w:r>
        <w:t>White2011}, facilitating knowledge exchange and collaborative learning. Such an environment is crucial for securing grants and enhancing the collective research acumen of the team. Furthermore, the diversity in team members' experiences and the deliberate inclusion of individuals at different stages of their careers not only promises to boost Team J's grant acquisition success but also supports the cultivation of a culture that values mutual growth and innovation.</w:t>
      </w:r>
    </w:p>
    <w:p w14:paraId="3030D678" w14:textId="1564ABF4" w:rsidR="00AD42DF" w:rsidRDefault="004A51E7" w:rsidP="004A51E7">
      <w:r>
        <w:t xml:space="preserve">The lack of engagement in the grant proposal network may not fully encapsulate the Clinical Professor's potential expertise in collaborative grant proposal development. All that can be concluded is that during the five-year period, the Clinical Professor did not collaborate on a grant proposal at Bosie State. This limitation underscores the intrinsic challenges associated with deriving comprehensive insights from historical data within a constrained timeframe. Nonetheless, a longitudinal examination of team dynamics and grant proposal productivity offers a valuable framework for assessing changes in collaborative efforts among all team members over time. To address this limitation and enrich our understanding of team collaboration on grant proposals, future investigations will expand the scope of analysis to include data from 2021 through 2023. This extended analysis aims to provide a more nuanced </w:t>
      </w:r>
      <w:r>
        <w:lastRenderedPageBreak/>
        <w:t>view of the team's grant proposal activities, potentially uncovering broader trends and individual contributions to collaborative grant writing endeavors.</w:t>
      </w:r>
      <w:r>
        <w:t>”</w:t>
      </w:r>
    </w:p>
    <w:p w14:paraId="6DE3D7D1" w14:textId="70840FF2" w:rsidR="00CD3228" w:rsidRDefault="00CD3228" w:rsidP="004A51E7"/>
    <w:p w14:paraId="1450DD03" w14:textId="47A52002" w:rsidR="00AD42DF" w:rsidRDefault="00AD42DF" w:rsidP="00AD42DF">
      <w:r>
        <w:t xml:space="preserve">The Understanding How Network, on the other hand, offers a lens through which the team's internal and external collaborative efforts can be examined, shedding light on the dynamics of knowledge exchange and collective problem-solving. </w:t>
      </w:r>
    </w:p>
    <w:p w14:paraId="65A5C7B3" w14:textId="22CDAE51" w:rsidR="00CD3228" w:rsidRDefault="00CD3228" w:rsidP="00CD3228">
      <w:r>
        <w:t>“</w:t>
      </w:r>
      <w:r>
        <w:t xml:space="preserve">Team J has a remarkable understanding of how their colleagues' methods will contribute to creating collective scholarly work. The ``Understanding How'' network's cohesiveness is evidenced by the dense interconnections. This observation, however, should be contextualized within the broader scope of potential external influences, particularly the team's strategic planning sessions where model agreements develop a shared </w:t>
      </w:r>
      <w:proofErr w:type="gramStart"/>
      <w:r>
        <w:t>understanding  \</w:t>
      </w:r>
      <w:proofErr w:type="spellStart"/>
      <w:proofErr w:type="gramEnd"/>
      <w:r>
        <w:t>citep</w:t>
      </w:r>
      <w:proofErr w:type="spellEnd"/>
      <w:r>
        <w:t>{Sonnenwald2007}. This study's survey was launched around the time when the CRCA requested team white papers or research proposals. Therefore, there was a risk of interviewer demand effects, where team members may inadvertently align their responses with what they perceive as the researchers' expectations. Such dynamics underline the importance of a nuanced interpretation of the network data to ensure it faithfully represents the team's collaborative ethos.</w:t>
      </w:r>
    </w:p>
    <w:p w14:paraId="6D956F70" w14:textId="27E8C915" w:rsidR="00AD42DF" w:rsidRDefault="00CD3228" w:rsidP="00CD3228">
      <w:r>
        <w:t xml:space="preserve">In affirming Team J's collaborative readiness, as suggested by the ``Understanding </w:t>
      </w:r>
      <w:proofErr w:type="gramStart"/>
      <w:r>
        <w:t>How''</w:t>
      </w:r>
      <w:proofErr w:type="gramEnd"/>
      <w:r>
        <w:t xml:space="preserve"> network, it is imperative to consider these findings within a comprehensive analytical framework. While the network suggests a robust foundation for collaboration, highlighted by strong mutual understanding, this conclusion demands a careful consideration of all contributing factors.</w:t>
      </w:r>
      <w:r>
        <w:t>”</w:t>
      </w:r>
    </w:p>
    <w:p w14:paraId="1A811FFF" w14:textId="77777777" w:rsidR="00CD5187" w:rsidRDefault="00CD5187" w:rsidP="00CD5187"/>
    <w:p w14:paraId="284FBF2C" w14:textId="7D3B78C7" w:rsidR="00AD42DF" w:rsidRDefault="00AD42DF" w:rsidP="00AD42DF">
      <w:r>
        <w:t>Lastly, the Professional Networks component provides a broader perspective on Team J's engagement within the academic community, encompassing interactions such as joint publications, conference participations, and committee involvements. This tripartite analysis aims to unravel the complex interplay between individual expertise, collaborative synergy, and institutional support in fostering an environment conducive to the production of scholarly work.</w:t>
      </w:r>
    </w:p>
    <w:p w14:paraId="4DCA674C" w14:textId="77777777" w:rsidR="00CD5187" w:rsidRDefault="00CD5187" w:rsidP="00CD5187">
      <w:r>
        <w:t xml:space="preserve">“Due to the low interaction levels of some professional networks, only ``University </w:t>
      </w:r>
      <w:proofErr w:type="gramStart"/>
      <w:r>
        <w:t>Business''</w:t>
      </w:r>
      <w:proofErr w:type="gramEnd"/>
      <w:r>
        <w:t xml:space="preserve"> and ``Grant Proposals'' networks were analyzed. This absence or minimal presence of connections may indicate that the team is in the early stages of establishing new network connections, reflecting a phase of developing collaborative dynamics. </w:t>
      </w:r>
    </w:p>
    <w:p w14:paraId="68E9B27D" w14:textId="77777777" w:rsidR="00CD5187" w:rsidRDefault="00CD5187" w:rsidP="00CD5187">
      <w:r>
        <w:t xml:space="preserve">The analysis of Team J's ``University </w:t>
      </w:r>
      <w:proofErr w:type="gramStart"/>
      <w:r>
        <w:t>Business''</w:t>
      </w:r>
      <w:proofErr w:type="gramEnd"/>
      <w:r>
        <w:t xml:space="preserve"> and ``Grant Proposal'' networks </w:t>
      </w:r>
      <w:proofErr w:type="gramStart"/>
      <w:r>
        <w:t>reveals</w:t>
      </w:r>
      <w:proofErr w:type="gramEnd"/>
      <w:r>
        <w:t xml:space="preserve"> a nuanced landscape of professional interactions, highlighting both the collaborative strengths and areas for growth within the team. The ``University </w:t>
      </w:r>
      <w:proofErr w:type="gramStart"/>
      <w:r>
        <w:t>Business''</w:t>
      </w:r>
      <w:proofErr w:type="gramEnd"/>
      <w:r>
        <w:t xml:space="preserve"> network showcases a high Degree of collaboration and mutual recognition among members, particularly Professor 1 and Professor 3, indicating a robust framework for university-related activities. In contrast, the ``Grant </w:t>
      </w:r>
      <w:proofErr w:type="gramStart"/>
      <w:r>
        <w:t>Proposal''</w:t>
      </w:r>
      <w:proofErr w:type="gramEnd"/>
      <w:r>
        <w:t xml:space="preserve"> network illustrates a more selective pattern of engagement, with Professor 2 playing a central role in collaborations. Despite its lower density, this network offers insight into the potential for enhancing grant-seeking activities. These findings, set against the backdrop of the team's pre-formation creative work, provide a baseline for future analyses. By monitoring changes in the professional networks' density and average Degree, the CRCA aims to track the evolution of each Team's productivity, using these metrics as benchmarks for </w:t>
      </w:r>
      <w:r>
        <w:lastRenderedPageBreak/>
        <w:t>assessing scientific productivity and the impact of the GCs initiative on fostering a collaborative and dynamic research environment. This approach underscores the importance of understanding and enhancing the interconnectedness and collaborative efforts within research teams. This foundational analysis of current professional networks within Team J sets the stage for a deeper historical examination of grant proposal activities, which will provide additional context to the team’s collaborative culture.”</w:t>
      </w:r>
    </w:p>
    <w:p w14:paraId="1665BAAD" w14:textId="790F6447" w:rsidR="00AD42DF" w:rsidRDefault="00CD5187" w:rsidP="00AD42DF">
      <w:r>
        <w:t>AND</w:t>
      </w:r>
    </w:p>
    <w:p w14:paraId="52932BB5" w14:textId="496D4156" w:rsidR="00982B6C" w:rsidRDefault="00982B6C" w:rsidP="00982B6C">
      <w:r>
        <w:t>“</w:t>
      </w:r>
      <w:r>
        <w:t>The sequence in which layers are aggregated reveals insights into the hierarchical relationships and significance of different professional interactions. Initially combining "University Business" and "Professional Advice" suggests a foundational linkage between administrative duties and the dissemination of professional expertise, reflecting institutional practices' interconnectedness.</w:t>
      </w:r>
    </w:p>
    <w:p w14:paraId="7BBF304C" w14:textId="4708A91D" w:rsidR="00982B6C" w:rsidRDefault="00982B6C" w:rsidP="00982B6C">
      <w:r>
        <w:t>The subsequent aggregations, such as combining "Their Mentor" and "Joint Publication" layers, highlight unexpected linkages that may not align with initial hypotheses. These combinations suggest complex relationships within the network, such as the influence of mentorship on scholarly output, which was not as straightforward as other relationships within the network.</w:t>
      </w:r>
    </w:p>
    <w:p w14:paraId="30D3A97C" w14:textId="69933E5E" w:rsidR="00982B6C" w:rsidRDefault="00982B6C" w:rsidP="00982B6C">
      <w:r>
        <w:t>The analysis indicates that some logically aligned layers, such as "Grant Proposal" and "Joint Publication," do not merge until later in the sequence. This suggests a more intricate relationship between research funding and scholarly output than anticipated, possibly mediated by other professional interactions.</w:t>
      </w:r>
    </w:p>
    <w:p w14:paraId="4DD4A050" w14:textId="00BCDD86" w:rsidR="00982B6C" w:rsidRDefault="00982B6C" w:rsidP="00982B6C">
      <w:r>
        <w:t>The order of aggregation and the resulting structure offer profound insights into the social processes and structural similarities that govern professional interactions in academia. The analysis provides a foundation for understanding the complexities of academic-professional relationships, revealing how different forms of professional engagement are interconnected within a multilayer network.</w:t>
      </w:r>
      <w:r>
        <w:t>”</w:t>
      </w:r>
    </w:p>
    <w:p w14:paraId="3B688E55" w14:textId="77777777" w:rsidR="00982B6C" w:rsidRDefault="00982B6C" w:rsidP="00982B6C"/>
    <w:p w14:paraId="785840AA" w14:textId="7116FED7" w:rsidR="00CD5187" w:rsidRDefault="00982B6C" w:rsidP="00982B6C">
      <w:r>
        <w:t xml:space="preserve">Overall, the results </w:t>
      </w:r>
      <w:proofErr w:type="gramStart"/>
      <w:r>
        <w:t>illuminates</w:t>
      </w:r>
      <w:proofErr w:type="gramEnd"/>
      <w:r>
        <w:t xml:space="preserve"> the nuanced and complex nature of professional networks in academic settings, emphasizing the importance of understanding the structural dynamics and social processes that underpin these interactions. A combined analysis of each team's aggregation order will aid in concluding a common aggregation order.</w:t>
      </w:r>
    </w:p>
    <w:p w14:paraId="54140F38" w14:textId="77777777" w:rsidR="00CD5187" w:rsidRDefault="00CD5187" w:rsidP="00AD42DF"/>
    <w:p w14:paraId="5E2CA272" w14:textId="472E48B6" w:rsidR="00755268" w:rsidRPr="00AF7B8C" w:rsidRDefault="00AD42DF" w:rsidP="00AD42DF">
      <w:r>
        <w:t xml:space="preserve">By exploring these dimensions, this </w:t>
      </w:r>
      <w:r w:rsidR="00982B6C">
        <w:t>chapter</w:t>
      </w:r>
      <w:r>
        <w:t xml:space="preserve"> uncover</w:t>
      </w:r>
      <w:r w:rsidR="00982B6C">
        <w:t>ed</w:t>
      </w:r>
      <w:r>
        <w:t xml:space="preserve"> the factors that contribute to or hinder Team J's scientific productivity, offering insights into how research teams can navigate the challenges and opportunities of the academic landscape. The </w:t>
      </w:r>
      <w:proofErr w:type="gramStart"/>
      <w:r>
        <w:t>ultimate goal</w:t>
      </w:r>
      <w:proofErr w:type="gramEnd"/>
      <w:r>
        <w:t xml:space="preserve"> is to provide a nuanced understanding of the mechanisms through which scientific productivity is cultivated, with implications for enhancing the efficacy and impact of academic research teams.</w:t>
      </w:r>
    </w:p>
    <w:sectPr w:rsidR="00755268" w:rsidRPr="00AF7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263E2"/>
    <w:multiLevelType w:val="hybridMultilevel"/>
    <w:tmpl w:val="5C52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D415D"/>
    <w:multiLevelType w:val="hybridMultilevel"/>
    <w:tmpl w:val="9A58AF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80A8E"/>
    <w:multiLevelType w:val="hybridMultilevel"/>
    <w:tmpl w:val="4058E796"/>
    <w:lvl w:ilvl="0" w:tplc="E99A5B50">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01F65"/>
    <w:multiLevelType w:val="hybridMultilevel"/>
    <w:tmpl w:val="C6F64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AC1873"/>
    <w:multiLevelType w:val="hybridMultilevel"/>
    <w:tmpl w:val="53B23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71213D"/>
    <w:multiLevelType w:val="multilevel"/>
    <w:tmpl w:val="9B92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972518">
    <w:abstractNumId w:val="0"/>
  </w:num>
  <w:num w:numId="2" w16cid:durableId="1667586801">
    <w:abstractNumId w:val="4"/>
  </w:num>
  <w:num w:numId="3" w16cid:durableId="297536821">
    <w:abstractNumId w:val="2"/>
  </w:num>
  <w:num w:numId="4" w16cid:durableId="1127042224">
    <w:abstractNumId w:val="1"/>
  </w:num>
  <w:num w:numId="5" w16cid:durableId="726296745">
    <w:abstractNumId w:val="3"/>
  </w:num>
  <w:num w:numId="6" w16cid:durableId="1889030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C8"/>
    <w:rsid w:val="00003682"/>
    <w:rsid w:val="00031D69"/>
    <w:rsid w:val="00044CD8"/>
    <w:rsid w:val="000721AC"/>
    <w:rsid w:val="000A653A"/>
    <w:rsid w:val="000D34D3"/>
    <w:rsid w:val="000F16BD"/>
    <w:rsid w:val="001151D3"/>
    <w:rsid w:val="001727BA"/>
    <w:rsid w:val="00176EC1"/>
    <w:rsid w:val="001B4DA1"/>
    <w:rsid w:val="001C3D1D"/>
    <w:rsid w:val="001D771C"/>
    <w:rsid w:val="00203374"/>
    <w:rsid w:val="00207160"/>
    <w:rsid w:val="0023262F"/>
    <w:rsid w:val="002457F3"/>
    <w:rsid w:val="002E4DB9"/>
    <w:rsid w:val="003174FC"/>
    <w:rsid w:val="003604FE"/>
    <w:rsid w:val="003F187E"/>
    <w:rsid w:val="0041471B"/>
    <w:rsid w:val="00420F44"/>
    <w:rsid w:val="004241B4"/>
    <w:rsid w:val="00430166"/>
    <w:rsid w:val="00432BF5"/>
    <w:rsid w:val="004A4E64"/>
    <w:rsid w:val="004A51E7"/>
    <w:rsid w:val="004C615D"/>
    <w:rsid w:val="004C7247"/>
    <w:rsid w:val="004D269C"/>
    <w:rsid w:val="00593C25"/>
    <w:rsid w:val="005D6D45"/>
    <w:rsid w:val="006166D3"/>
    <w:rsid w:val="0062362B"/>
    <w:rsid w:val="0064530F"/>
    <w:rsid w:val="006478E5"/>
    <w:rsid w:val="00695284"/>
    <w:rsid w:val="0069620F"/>
    <w:rsid w:val="006E1DA9"/>
    <w:rsid w:val="00700411"/>
    <w:rsid w:val="00703AD5"/>
    <w:rsid w:val="00732048"/>
    <w:rsid w:val="00743ECC"/>
    <w:rsid w:val="007442D5"/>
    <w:rsid w:val="00755268"/>
    <w:rsid w:val="007722C8"/>
    <w:rsid w:val="007B484C"/>
    <w:rsid w:val="007D4B5F"/>
    <w:rsid w:val="007D7616"/>
    <w:rsid w:val="007E05FD"/>
    <w:rsid w:val="008468D8"/>
    <w:rsid w:val="00852DEA"/>
    <w:rsid w:val="00870F45"/>
    <w:rsid w:val="008751CD"/>
    <w:rsid w:val="00880D1D"/>
    <w:rsid w:val="008819BC"/>
    <w:rsid w:val="008B2FB9"/>
    <w:rsid w:val="008E3C27"/>
    <w:rsid w:val="008E688A"/>
    <w:rsid w:val="00970D77"/>
    <w:rsid w:val="00971483"/>
    <w:rsid w:val="00973245"/>
    <w:rsid w:val="00982B6C"/>
    <w:rsid w:val="009A2CBF"/>
    <w:rsid w:val="009A4253"/>
    <w:rsid w:val="009C3387"/>
    <w:rsid w:val="009F72A5"/>
    <w:rsid w:val="00A11692"/>
    <w:rsid w:val="00A263F4"/>
    <w:rsid w:val="00A55B89"/>
    <w:rsid w:val="00A56457"/>
    <w:rsid w:val="00A77601"/>
    <w:rsid w:val="00A835C2"/>
    <w:rsid w:val="00A9080E"/>
    <w:rsid w:val="00A91B2C"/>
    <w:rsid w:val="00AA64D6"/>
    <w:rsid w:val="00AD42DF"/>
    <w:rsid w:val="00AE5B35"/>
    <w:rsid w:val="00AF7B8C"/>
    <w:rsid w:val="00B07FDC"/>
    <w:rsid w:val="00B321F4"/>
    <w:rsid w:val="00B32D7A"/>
    <w:rsid w:val="00B36610"/>
    <w:rsid w:val="00B726FB"/>
    <w:rsid w:val="00B823D1"/>
    <w:rsid w:val="00B86C97"/>
    <w:rsid w:val="00BB16AB"/>
    <w:rsid w:val="00BC4FC3"/>
    <w:rsid w:val="00BE16FD"/>
    <w:rsid w:val="00BE2058"/>
    <w:rsid w:val="00C340F8"/>
    <w:rsid w:val="00C37250"/>
    <w:rsid w:val="00C656EC"/>
    <w:rsid w:val="00C87448"/>
    <w:rsid w:val="00CA22BF"/>
    <w:rsid w:val="00CA3A4A"/>
    <w:rsid w:val="00CD3228"/>
    <w:rsid w:val="00CD5187"/>
    <w:rsid w:val="00D13D96"/>
    <w:rsid w:val="00D2708B"/>
    <w:rsid w:val="00D46170"/>
    <w:rsid w:val="00D47011"/>
    <w:rsid w:val="00D76576"/>
    <w:rsid w:val="00D91FE1"/>
    <w:rsid w:val="00DA1879"/>
    <w:rsid w:val="00DC1D47"/>
    <w:rsid w:val="00DD23CF"/>
    <w:rsid w:val="00DE7738"/>
    <w:rsid w:val="00E0691E"/>
    <w:rsid w:val="00E11A48"/>
    <w:rsid w:val="00E43999"/>
    <w:rsid w:val="00E8033D"/>
    <w:rsid w:val="00E86D09"/>
    <w:rsid w:val="00E9508A"/>
    <w:rsid w:val="00EF3D8C"/>
    <w:rsid w:val="00F30395"/>
    <w:rsid w:val="00F33CA2"/>
    <w:rsid w:val="00F34964"/>
    <w:rsid w:val="00F4248E"/>
    <w:rsid w:val="00F67DBE"/>
    <w:rsid w:val="00F67FD7"/>
    <w:rsid w:val="00F80ECD"/>
    <w:rsid w:val="00F840DC"/>
    <w:rsid w:val="00FA4A0D"/>
    <w:rsid w:val="00FD1EC3"/>
    <w:rsid w:val="00FD2F39"/>
    <w:rsid w:val="00FF17C1"/>
    <w:rsid w:val="00FF61AC"/>
    <w:rsid w:val="00FF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B1E78"/>
  <w15:chartTrackingRefBased/>
  <w15:docId w15:val="{C4CD009A-4E8D-498D-99A0-D25DB5DD0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22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722C8"/>
    <w:rPr>
      <w:b/>
      <w:bCs/>
    </w:rPr>
  </w:style>
  <w:style w:type="paragraph" w:styleId="ListParagraph">
    <w:name w:val="List Paragraph"/>
    <w:basedOn w:val="Normal"/>
    <w:uiPriority w:val="34"/>
    <w:qFormat/>
    <w:rsid w:val="000D3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75">
      <w:bodyDiv w:val="1"/>
      <w:marLeft w:val="0"/>
      <w:marRight w:val="0"/>
      <w:marTop w:val="0"/>
      <w:marBottom w:val="0"/>
      <w:divBdr>
        <w:top w:val="none" w:sz="0" w:space="0" w:color="auto"/>
        <w:left w:val="none" w:sz="0" w:space="0" w:color="auto"/>
        <w:bottom w:val="none" w:sz="0" w:space="0" w:color="auto"/>
        <w:right w:val="none" w:sz="0" w:space="0" w:color="auto"/>
      </w:divBdr>
    </w:div>
    <w:div w:id="612054699">
      <w:bodyDiv w:val="1"/>
      <w:marLeft w:val="0"/>
      <w:marRight w:val="0"/>
      <w:marTop w:val="0"/>
      <w:marBottom w:val="0"/>
      <w:divBdr>
        <w:top w:val="none" w:sz="0" w:space="0" w:color="auto"/>
        <w:left w:val="none" w:sz="0" w:space="0" w:color="auto"/>
        <w:bottom w:val="none" w:sz="0" w:space="0" w:color="auto"/>
        <w:right w:val="none" w:sz="0" w:space="0" w:color="auto"/>
      </w:divBdr>
      <w:divsChild>
        <w:div w:id="738601543">
          <w:marLeft w:val="0"/>
          <w:marRight w:val="0"/>
          <w:marTop w:val="0"/>
          <w:marBottom w:val="0"/>
          <w:divBdr>
            <w:top w:val="single" w:sz="2" w:space="0" w:color="E3E3E3"/>
            <w:left w:val="single" w:sz="2" w:space="0" w:color="E3E3E3"/>
            <w:bottom w:val="single" w:sz="2" w:space="0" w:color="E3E3E3"/>
            <w:right w:val="single" w:sz="2" w:space="0" w:color="E3E3E3"/>
          </w:divBdr>
          <w:divsChild>
            <w:div w:id="396975879">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570794">
                  <w:marLeft w:val="0"/>
                  <w:marRight w:val="0"/>
                  <w:marTop w:val="0"/>
                  <w:marBottom w:val="0"/>
                  <w:divBdr>
                    <w:top w:val="single" w:sz="2" w:space="0" w:color="E3E3E3"/>
                    <w:left w:val="single" w:sz="2" w:space="0" w:color="E3E3E3"/>
                    <w:bottom w:val="single" w:sz="2" w:space="0" w:color="E3E3E3"/>
                    <w:right w:val="single" w:sz="2" w:space="0" w:color="E3E3E3"/>
                  </w:divBdr>
                  <w:divsChild>
                    <w:div w:id="1898319762">
                      <w:marLeft w:val="0"/>
                      <w:marRight w:val="0"/>
                      <w:marTop w:val="0"/>
                      <w:marBottom w:val="0"/>
                      <w:divBdr>
                        <w:top w:val="single" w:sz="2" w:space="0" w:color="E3E3E3"/>
                        <w:left w:val="single" w:sz="2" w:space="0" w:color="E3E3E3"/>
                        <w:bottom w:val="single" w:sz="2" w:space="0" w:color="E3E3E3"/>
                        <w:right w:val="single" w:sz="2" w:space="0" w:color="E3E3E3"/>
                      </w:divBdr>
                      <w:divsChild>
                        <w:div w:id="1532766821">
                          <w:marLeft w:val="0"/>
                          <w:marRight w:val="0"/>
                          <w:marTop w:val="0"/>
                          <w:marBottom w:val="0"/>
                          <w:divBdr>
                            <w:top w:val="single" w:sz="2" w:space="0" w:color="E3E3E3"/>
                            <w:left w:val="single" w:sz="2" w:space="0" w:color="E3E3E3"/>
                            <w:bottom w:val="single" w:sz="2" w:space="0" w:color="E3E3E3"/>
                            <w:right w:val="single" w:sz="2" w:space="0" w:color="E3E3E3"/>
                          </w:divBdr>
                          <w:divsChild>
                            <w:div w:id="1833640354">
                              <w:marLeft w:val="0"/>
                              <w:marRight w:val="0"/>
                              <w:marTop w:val="0"/>
                              <w:marBottom w:val="0"/>
                              <w:divBdr>
                                <w:top w:val="single" w:sz="2" w:space="0" w:color="E3E3E3"/>
                                <w:left w:val="single" w:sz="2" w:space="0" w:color="E3E3E3"/>
                                <w:bottom w:val="single" w:sz="2" w:space="0" w:color="E3E3E3"/>
                                <w:right w:val="single" w:sz="2" w:space="0" w:color="E3E3E3"/>
                              </w:divBdr>
                              <w:divsChild>
                                <w:div w:id="204488758">
                                  <w:marLeft w:val="0"/>
                                  <w:marRight w:val="0"/>
                                  <w:marTop w:val="0"/>
                                  <w:marBottom w:val="0"/>
                                  <w:divBdr>
                                    <w:top w:val="single" w:sz="2" w:space="0" w:color="E3E3E3"/>
                                    <w:left w:val="single" w:sz="2" w:space="0" w:color="E3E3E3"/>
                                    <w:bottom w:val="single" w:sz="2" w:space="0" w:color="E3E3E3"/>
                                    <w:right w:val="single" w:sz="2" w:space="0" w:color="E3E3E3"/>
                                  </w:divBdr>
                                  <w:divsChild>
                                    <w:div w:id="758330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33028539">
      <w:bodyDiv w:val="1"/>
      <w:marLeft w:val="0"/>
      <w:marRight w:val="0"/>
      <w:marTop w:val="0"/>
      <w:marBottom w:val="0"/>
      <w:divBdr>
        <w:top w:val="none" w:sz="0" w:space="0" w:color="auto"/>
        <w:left w:val="none" w:sz="0" w:space="0" w:color="auto"/>
        <w:bottom w:val="none" w:sz="0" w:space="0" w:color="auto"/>
        <w:right w:val="none" w:sz="0" w:space="0" w:color="auto"/>
      </w:divBdr>
    </w:div>
    <w:div w:id="1563368043">
      <w:bodyDiv w:val="1"/>
      <w:marLeft w:val="0"/>
      <w:marRight w:val="0"/>
      <w:marTop w:val="0"/>
      <w:marBottom w:val="0"/>
      <w:divBdr>
        <w:top w:val="none" w:sz="0" w:space="0" w:color="auto"/>
        <w:left w:val="none" w:sz="0" w:space="0" w:color="auto"/>
        <w:bottom w:val="none" w:sz="0" w:space="0" w:color="auto"/>
        <w:right w:val="none" w:sz="0" w:space="0" w:color="auto"/>
      </w:divBdr>
    </w:div>
    <w:div w:id="1581986463">
      <w:bodyDiv w:val="1"/>
      <w:marLeft w:val="0"/>
      <w:marRight w:val="0"/>
      <w:marTop w:val="0"/>
      <w:marBottom w:val="0"/>
      <w:divBdr>
        <w:top w:val="none" w:sz="0" w:space="0" w:color="auto"/>
        <w:left w:val="none" w:sz="0" w:space="0" w:color="auto"/>
        <w:bottom w:val="none" w:sz="0" w:space="0" w:color="auto"/>
        <w:right w:val="none" w:sz="0" w:space="0" w:color="auto"/>
      </w:divBdr>
    </w:div>
    <w:div w:id="183672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1382</TotalTime>
  <Pages>3</Pages>
  <Words>1365</Words>
  <Characters>8734</Characters>
  <Application>Microsoft Office Word</Application>
  <DocSecurity>0</DocSecurity>
  <Lines>113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114</cp:revision>
  <dcterms:created xsi:type="dcterms:W3CDTF">2024-02-25T15:55:00Z</dcterms:created>
  <dcterms:modified xsi:type="dcterms:W3CDTF">2024-02-27T00:43:00Z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321faf39-7aa2-42ab-a130-39776b014f0c</vt:lpwstr>
  </property>
</Properties>
</file>