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053BB" w14:textId="4184219D" w:rsidR="002462D5" w:rsidRDefault="00DD7E92" w:rsidP="00DD7E92">
      <w:pPr>
        <w:jc w:val="center"/>
        <w:rPr>
          <w:rFonts w:ascii="Arial" w:hAnsi="Arial" w:cs="Arial"/>
          <w:lang w:val="en-US"/>
        </w:rPr>
      </w:pPr>
      <w:r w:rsidRPr="00DD7E92">
        <w:rPr>
          <w:rFonts w:ascii="Arial" w:hAnsi="Arial" w:cs="Arial"/>
          <w:lang w:val="en-US"/>
        </w:rPr>
        <w:t>Lesson Plan in</w:t>
      </w:r>
      <w:r w:rsidR="00F7497B">
        <w:rPr>
          <w:rFonts w:ascii="Arial" w:hAnsi="Arial" w:cs="Arial"/>
          <w:lang w:val="en-US"/>
        </w:rPr>
        <w:t xml:space="preserve"> </w:t>
      </w:r>
      <w:r w:rsidR="00F45C9D">
        <w:rPr>
          <w:rFonts w:ascii="Arial" w:hAnsi="Arial" w:cs="Arial"/>
          <w:lang w:val="en-US"/>
        </w:rPr>
        <w:t>Teaching Profession</w:t>
      </w:r>
    </w:p>
    <w:p w14:paraId="75176CF1" w14:textId="77777777" w:rsidR="00DD7E92" w:rsidRDefault="00DD7E92" w:rsidP="00DD7E92">
      <w:pPr>
        <w:jc w:val="center"/>
        <w:rPr>
          <w:rFonts w:ascii="Arial" w:hAnsi="Arial" w:cs="Arial"/>
          <w:lang w:val="en-US"/>
        </w:rPr>
      </w:pPr>
    </w:p>
    <w:p w14:paraId="15B6C41F" w14:textId="77777777" w:rsidR="00DD7E92" w:rsidRDefault="00DD7E92" w:rsidP="00DD7E92">
      <w:pPr>
        <w:jc w:val="center"/>
        <w:rPr>
          <w:rFonts w:ascii="Arial" w:hAnsi="Arial" w:cs="Arial"/>
          <w:lang w:val="en-US"/>
        </w:rPr>
      </w:pPr>
    </w:p>
    <w:p w14:paraId="3A49E560" w14:textId="7DD5A2C4" w:rsidR="00DD7E92" w:rsidRDefault="00DD7E92" w:rsidP="00DD7E92">
      <w:pPr>
        <w:pStyle w:val="ListParagraph"/>
        <w:numPr>
          <w:ilvl w:val="0"/>
          <w:numId w:val="1"/>
        </w:numPr>
        <w:rPr>
          <w:rFonts w:ascii="Arial" w:hAnsi="Arial" w:cs="Arial"/>
          <w:lang w:val="en-US"/>
        </w:rPr>
      </w:pPr>
      <w:r>
        <w:rPr>
          <w:rFonts w:ascii="Arial" w:hAnsi="Arial" w:cs="Arial"/>
          <w:lang w:val="en-US"/>
        </w:rPr>
        <w:t>Objectives</w:t>
      </w:r>
    </w:p>
    <w:p w14:paraId="74CCAE8E" w14:textId="58A30371" w:rsidR="00DD7E92" w:rsidRDefault="00EF404B" w:rsidP="00DD7E92">
      <w:pPr>
        <w:pStyle w:val="ListParagraph"/>
        <w:numPr>
          <w:ilvl w:val="0"/>
          <w:numId w:val="4"/>
        </w:numPr>
        <w:rPr>
          <w:rFonts w:ascii="Arial" w:hAnsi="Arial" w:cs="Arial"/>
          <w:lang w:val="en-US"/>
        </w:rPr>
      </w:pPr>
      <w:r>
        <w:rPr>
          <w:rFonts w:ascii="Arial" w:hAnsi="Arial" w:cs="Arial"/>
          <w:lang w:val="en-US"/>
        </w:rPr>
        <w:t>To</w:t>
      </w:r>
      <w:r w:rsidR="00F46364">
        <w:rPr>
          <w:rFonts w:ascii="Arial" w:hAnsi="Arial" w:cs="Arial"/>
          <w:lang w:val="en-US"/>
        </w:rPr>
        <w:t xml:space="preserve"> analyze the impact of R.A 6728 – Government Assistance to Students and Teachers in Private Education Act </w:t>
      </w:r>
      <w:r>
        <w:rPr>
          <w:rFonts w:ascii="Arial" w:hAnsi="Arial" w:cs="Arial"/>
          <w:lang w:val="en-US"/>
        </w:rPr>
        <w:t xml:space="preserve">on education in the Philippines </w:t>
      </w:r>
      <w:r w:rsidR="00C764F7">
        <w:rPr>
          <w:rFonts w:ascii="Arial" w:hAnsi="Arial" w:cs="Arial"/>
          <w:lang w:val="en-US"/>
        </w:rPr>
        <w:tab/>
      </w:r>
    </w:p>
    <w:p w14:paraId="4A57BC4F" w14:textId="77777777" w:rsidR="00EF404B" w:rsidRDefault="00EF404B" w:rsidP="00EF404B">
      <w:pPr>
        <w:pStyle w:val="ListParagraph"/>
        <w:ind w:left="1080"/>
        <w:rPr>
          <w:rFonts w:ascii="Arial" w:hAnsi="Arial" w:cs="Arial"/>
          <w:lang w:val="en-US"/>
        </w:rPr>
      </w:pPr>
    </w:p>
    <w:p w14:paraId="36095113" w14:textId="42636E48" w:rsidR="00DD7E92" w:rsidRDefault="00C764F7" w:rsidP="00DD7E92">
      <w:pPr>
        <w:pStyle w:val="ListParagraph"/>
        <w:numPr>
          <w:ilvl w:val="0"/>
          <w:numId w:val="4"/>
        </w:numPr>
        <w:rPr>
          <w:rFonts w:ascii="Arial" w:hAnsi="Arial" w:cs="Arial"/>
          <w:lang w:val="en-US"/>
        </w:rPr>
      </w:pPr>
      <w:r>
        <w:rPr>
          <w:rFonts w:ascii="Arial" w:hAnsi="Arial" w:cs="Arial"/>
          <w:lang w:val="en-US"/>
        </w:rPr>
        <w:t>Create and submit a</w:t>
      </w:r>
      <w:r w:rsidR="00947699">
        <w:rPr>
          <w:rFonts w:ascii="Arial" w:hAnsi="Arial" w:cs="Arial"/>
          <w:lang w:val="en-US"/>
        </w:rPr>
        <w:t xml:space="preserve"> report on the utilization of government assistance under </w:t>
      </w:r>
      <w:r w:rsidR="00F46364">
        <w:rPr>
          <w:rFonts w:ascii="Arial" w:hAnsi="Arial" w:cs="Arial"/>
          <w:lang w:val="en-US"/>
        </w:rPr>
        <w:t xml:space="preserve">R.A 6728 – Government Assistance to Students and Teachers in Private Education Act </w:t>
      </w:r>
      <w:r w:rsidR="00947699">
        <w:rPr>
          <w:rFonts w:ascii="Arial" w:hAnsi="Arial" w:cs="Arial"/>
          <w:lang w:val="en-US"/>
        </w:rPr>
        <w:t>for students and teachers.</w:t>
      </w:r>
      <w:r>
        <w:rPr>
          <w:rFonts w:ascii="Arial" w:hAnsi="Arial" w:cs="Arial"/>
          <w:lang w:val="en-US"/>
        </w:rPr>
        <w:tab/>
      </w:r>
      <w:r>
        <w:rPr>
          <w:rFonts w:ascii="Arial" w:hAnsi="Arial" w:cs="Arial"/>
          <w:lang w:val="en-US"/>
        </w:rPr>
        <w:tab/>
      </w:r>
      <w:r>
        <w:rPr>
          <w:rFonts w:ascii="Arial" w:hAnsi="Arial" w:cs="Arial"/>
          <w:lang w:val="en-US"/>
        </w:rPr>
        <w:tab/>
      </w:r>
    </w:p>
    <w:p w14:paraId="055E1204" w14:textId="77777777" w:rsidR="00EF404B" w:rsidRDefault="00EF404B" w:rsidP="00EF404B">
      <w:pPr>
        <w:pStyle w:val="ListParagraph"/>
        <w:ind w:left="1080"/>
        <w:rPr>
          <w:rFonts w:ascii="Arial" w:hAnsi="Arial" w:cs="Arial"/>
          <w:lang w:val="en-US"/>
        </w:rPr>
      </w:pPr>
    </w:p>
    <w:p w14:paraId="78CBC809" w14:textId="23679EA7" w:rsidR="00DD7E92" w:rsidRDefault="00947699" w:rsidP="00DD7E92">
      <w:pPr>
        <w:pStyle w:val="ListParagraph"/>
        <w:numPr>
          <w:ilvl w:val="0"/>
          <w:numId w:val="4"/>
        </w:numPr>
        <w:rPr>
          <w:rFonts w:ascii="Arial" w:hAnsi="Arial" w:cs="Arial"/>
          <w:lang w:val="en-US"/>
        </w:rPr>
      </w:pPr>
      <w:r w:rsidRPr="00947699">
        <w:rPr>
          <w:rFonts w:ascii="Arial" w:hAnsi="Arial" w:cs="Arial"/>
        </w:rPr>
        <w:t>Develop an appreciation for the importance of government assistance in promoting equitable access to education.</w:t>
      </w:r>
    </w:p>
    <w:p w14:paraId="6AAC1360" w14:textId="77777777" w:rsidR="00DD7E92" w:rsidRDefault="00DD7E92" w:rsidP="00DD7E92">
      <w:pPr>
        <w:rPr>
          <w:rFonts w:ascii="Arial" w:hAnsi="Arial" w:cs="Arial"/>
          <w:lang w:val="en-US"/>
        </w:rPr>
      </w:pPr>
    </w:p>
    <w:p w14:paraId="3A9DE97F" w14:textId="263F362F" w:rsidR="00DD7E92" w:rsidRDefault="00DD7E92" w:rsidP="00DD7E92">
      <w:pPr>
        <w:pStyle w:val="ListParagraph"/>
        <w:numPr>
          <w:ilvl w:val="0"/>
          <w:numId w:val="1"/>
        </w:numPr>
        <w:rPr>
          <w:rFonts w:ascii="Arial" w:hAnsi="Arial" w:cs="Arial"/>
          <w:lang w:val="en-US"/>
        </w:rPr>
      </w:pPr>
      <w:r>
        <w:rPr>
          <w:rFonts w:ascii="Arial" w:hAnsi="Arial" w:cs="Arial"/>
          <w:lang w:val="en-US"/>
        </w:rPr>
        <w:t>Subject Matter</w:t>
      </w:r>
    </w:p>
    <w:p w14:paraId="293C883D" w14:textId="77777777" w:rsidR="00947699" w:rsidRDefault="006A04A1" w:rsidP="00DD7E92">
      <w:pPr>
        <w:pStyle w:val="ListParagraph"/>
        <w:ind w:left="1080"/>
        <w:rPr>
          <w:rFonts w:ascii="Arial" w:hAnsi="Arial" w:cs="Arial"/>
          <w:lang w:val="en-US"/>
        </w:rPr>
      </w:pPr>
      <w:r>
        <w:rPr>
          <w:rFonts w:ascii="Arial" w:hAnsi="Arial" w:cs="Arial"/>
          <w:lang w:val="en-US"/>
        </w:rPr>
        <w:t>Unit</w:t>
      </w:r>
      <w:r w:rsidR="00DD7E92">
        <w:rPr>
          <w:rFonts w:ascii="Arial" w:hAnsi="Arial" w:cs="Arial"/>
          <w:lang w:val="en-US"/>
        </w:rPr>
        <w:t xml:space="preserve"> Title:</w:t>
      </w:r>
      <w:r w:rsidR="00EF404B">
        <w:rPr>
          <w:rFonts w:ascii="Arial" w:hAnsi="Arial" w:cs="Arial"/>
          <w:lang w:val="en-US"/>
        </w:rPr>
        <w:t xml:space="preserve"> Unit 6 Other Laws Relevant to the Teaching Profession</w:t>
      </w:r>
    </w:p>
    <w:p w14:paraId="5CCA95D7" w14:textId="00B134A0" w:rsidR="00DD7E92" w:rsidRDefault="00EF404B" w:rsidP="00DD7E92">
      <w:pPr>
        <w:pStyle w:val="ListParagraph"/>
        <w:ind w:left="1080"/>
        <w:rPr>
          <w:rFonts w:ascii="Arial" w:hAnsi="Arial" w:cs="Arial"/>
          <w:lang w:val="en-US"/>
        </w:rPr>
      </w:pPr>
      <w:r>
        <w:rPr>
          <w:rFonts w:ascii="Arial" w:hAnsi="Arial" w:cs="Arial"/>
          <w:lang w:val="en-US"/>
        </w:rPr>
        <w:t xml:space="preserve"> </w:t>
      </w:r>
    </w:p>
    <w:p w14:paraId="6173574A" w14:textId="490125AD" w:rsidR="00DD7E92" w:rsidRDefault="00DD7E92" w:rsidP="00DD7E92">
      <w:pPr>
        <w:pStyle w:val="ListParagraph"/>
        <w:ind w:left="1080"/>
        <w:rPr>
          <w:rFonts w:ascii="Arial" w:hAnsi="Arial" w:cs="Arial"/>
          <w:lang w:val="en-US"/>
        </w:rPr>
      </w:pPr>
      <w:r>
        <w:rPr>
          <w:rFonts w:ascii="Arial" w:hAnsi="Arial" w:cs="Arial"/>
          <w:lang w:val="en-US"/>
        </w:rPr>
        <w:t>Topic:</w:t>
      </w:r>
      <w:r w:rsidR="00EF404B">
        <w:rPr>
          <w:rFonts w:ascii="Arial" w:hAnsi="Arial" w:cs="Arial"/>
          <w:lang w:val="en-US"/>
        </w:rPr>
        <w:t xml:space="preserve"> R.A 6728 Government Assistance to Students and Teachers in Private Education Act.</w:t>
      </w:r>
    </w:p>
    <w:p w14:paraId="3965E7F5" w14:textId="77777777" w:rsidR="00947699" w:rsidRDefault="00947699" w:rsidP="00DD7E92">
      <w:pPr>
        <w:pStyle w:val="ListParagraph"/>
        <w:ind w:left="1080"/>
        <w:rPr>
          <w:rFonts w:ascii="Arial" w:hAnsi="Arial" w:cs="Arial"/>
          <w:lang w:val="en-US"/>
        </w:rPr>
      </w:pPr>
    </w:p>
    <w:p w14:paraId="1437B5A4" w14:textId="77777777" w:rsidR="00F46364" w:rsidRDefault="00F46364" w:rsidP="00DD7E92">
      <w:pPr>
        <w:pStyle w:val="ListParagraph"/>
        <w:ind w:left="1080"/>
        <w:rPr>
          <w:rFonts w:ascii="Arial" w:hAnsi="Arial" w:cs="Arial"/>
          <w:lang w:val="en-US"/>
        </w:rPr>
      </w:pPr>
      <w:r>
        <w:rPr>
          <w:rFonts w:ascii="Arial" w:hAnsi="Arial" w:cs="Arial"/>
          <w:lang w:val="en-US"/>
        </w:rPr>
        <w:t xml:space="preserve">References: </w:t>
      </w:r>
    </w:p>
    <w:p w14:paraId="2A5DB72C" w14:textId="1EA5157A" w:rsidR="00F46364" w:rsidRDefault="00F46364" w:rsidP="00F46364">
      <w:pPr>
        <w:pStyle w:val="ListParagraph"/>
        <w:numPr>
          <w:ilvl w:val="0"/>
          <w:numId w:val="6"/>
        </w:numPr>
        <w:rPr>
          <w:rFonts w:ascii="Arial" w:hAnsi="Arial" w:cs="Arial"/>
        </w:rPr>
      </w:pPr>
      <w:r w:rsidRPr="00F46364">
        <w:rPr>
          <w:rFonts w:ascii="Arial" w:hAnsi="Arial" w:cs="Arial"/>
        </w:rPr>
        <w:t xml:space="preserve">Republic Act No. 6728, </w:t>
      </w:r>
      <w:proofErr w:type="gramStart"/>
      <w:r w:rsidRPr="00F46364">
        <w:rPr>
          <w:rFonts w:ascii="Arial" w:hAnsi="Arial" w:cs="Arial"/>
        </w:rPr>
        <w:t>An</w:t>
      </w:r>
      <w:proofErr w:type="gramEnd"/>
      <w:r w:rsidRPr="00F46364">
        <w:rPr>
          <w:rFonts w:ascii="Arial" w:hAnsi="Arial" w:cs="Arial"/>
        </w:rPr>
        <w:t xml:space="preserve"> Act Providing Government Assistance to Students and Teachers in Private Education, 1989.</w:t>
      </w:r>
      <w:r>
        <w:rPr>
          <w:rFonts w:ascii="Arial" w:hAnsi="Arial" w:cs="Arial"/>
        </w:rPr>
        <w:t xml:space="preserve"> </w:t>
      </w:r>
      <w:hyperlink r:id="rId10" w:history="1">
        <w:r w:rsidRPr="005F215D">
          <w:rPr>
            <w:rStyle w:val="Hyperlink"/>
            <w:rFonts w:ascii="Arial" w:hAnsi="Arial" w:cs="Arial"/>
          </w:rPr>
          <w:t>https://lawphil.net/statutes/repacts/ra1989/ra_6728_1989.html</w:t>
        </w:r>
      </w:hyperlink>
    </w:p>
    <w:p w14:paraId="7E1B6B24" w14:textId="41D2DC88" w:rsidR="00F46364" w:rsidRPr="00F46364" w:rsidRDefault="00F46364" w:rsidP="00F46364">
      <w:pPr>
        <w:pStyle w:val="ListParagraph"/>
        <w:numPr>
          <w:ilvl w:val="0"/>
          <w:numId w:val="6"/>
        </w:numPr>
        <w:rPr>
          <w:rStyle w:val="Emphasis"/>
          <w:rFonts w:ascii="Arial" w:hAnsi="Arial" w:cs="Arial"/>
          <w:i w:val="0"/>
          <w:iCs w:val="0"/>
        </w:rPr>
      </w:pPr>
      <w:r w:rsidRPr="00F46364">
        <w:rPr>
          <w:rStyle w:val="Strong"/>
          <w:rFonts w:ascii="Arial" w:hAnsi="Arial" w:cs="Arial"/>
          <w:b w:val="0"/>
        </w:rPr>
        <w:t>Republic of the Philippines, Supreme Court.</w:t>
      </w:r>
      <w:r w:rsidRPr="00F46364">
        <w:rPr>
          <w:rFonts w:ascii="Arial" w:hAnsi="Arial" w:cs="Arial"/>
        </w:rPr>
        <w:t xml:space="preserve"> (2015). </w:t>
      </w:r>
      <w:r w:rsidRPr="00F46364">
        <w:rPr>
          <w:rStyle w:val="Emphasis"/>
          <w:rFonts w:ascii="Arial" w:hAnsi="Arial" w:cs="Arial"/>
        </w:rPr>
        <w:t>People of the Philippines v. Maria Cristina A. Mercado, G.R. No. 171634, August 24, 2015.</w:t>
      </w:r>
    </w:p>
    <w:p w14:paraId="2B271DE1" w14:textId="7130FC0E" w:rsidR="00F46364" w:rsidRDefault="00F46364" w:rsidP="00F46364">
      <w:pPr>
        <w:pStyle w:val="ListParagraph"/>
        <w:ind w:left="1800"/>
        <w:rPr>
          <w:rFonts w:ascii="Arial" w:hAnsi="Arial" w:cs="Arial"/>
        </w:rPr>
      </w:pPr>
      <w:hyperlink r:id="rId11" w:history="1">
        <w:r w:rsidRPr="005F215D">
          <w:rPr>
            <w:rStyle w:val="Hyperlink"/>
            <w:rFonts w:ascii="Arial" w:hAnsi="Arial" w:cs="Arial"/>
          </w:rPr>
          <w:t>https://elibrary.judiciary.gov.ph/thebookshelf/showdocs/2/6302</w:t>
        </w:r>
      </w:hyperlink>
    </w:p>
    <w:p w14:paraId="7F429DCB" w14:textId="32B09201" w:rsidR="00F46364" w:rsidRDefault="00F46364" w:rsidP="00F46364">
      <w:pPr>
        <w:pStyle w:val="ListParagraph"/>
        <w:numPr>
          <w:ilvl w:val="0"/>
          <w:numId w:val="6"/>
        </w:numPr>
        <w:rPr>
          <w:rFonts w:ascii="Arial" w:hAnsi="Arial" w:cs="Arial"/>
        </w:rPr>
      </w:pPr>
      <w:r w:rsidRPr="00F46364">
        <w:rPr>
          <w:rFonts w:ascii="Arial" w:hAnsi="Arial" w:cs="Arial"/>
        </w:rPr>
        <w:t xml:space="preserve">Republic Act No. 8545, </w:t>
      </w:r>
      <w:proofErr w:type="gramStart"/>
      <w:r w:rsidRPr="00F46364">
        <w:rPr>
          <w:rStyle w:val="Emphasis"/>
          <w:rFonts w:ascii="Arial" w:hAnsi="Arial" w:cs="Arial"/>
        </w:rPr>
        <w:t>An</w:t>
      </w:r>
      <w:proofErr w:type="gramEnd"/>
      <w:r w:rsidRPr="00F46364">
        <w:rPr>
          <w:rStyle w:val="Emphasis"/>
          <w:rFonts w:ascii="Arial" w:hAnsi="Arial" w:cs="Arial"/>
        </w:rPr>
        <w:t xml:space="preserve"> Act Strengthening the Program of Assistance to Students in Private Higher Educational Institutions and for Other Purposes</w:t>
      </w:r>
      <w:r w:rsidRPr="00F46364">
        <w:rPr>
          <w:rFonts w:ascii="Arial" w:hAnsi="Arial" w:cs="Arial"/>
        </w:rPr>
        <w:t>, 1998.</w:t>
      </w:r>
    </w:p>
    <w:p w14:paraId="3ADDFE84" w14:textId="6DB37D15" w:rsidR="00F46364" w:rsidRDefault="00F46364" w:rsidP="00F46364">
      <w:pPr>
        <w:pStyle w:val="ListParagraph"/>
        <w:ind w:left="1800"/>
        <w:rPr>
          <w:rFonts w:ascii="Arial" w:hAnsi="Arial" w:cs="Arial"/>
        </w:rPr>
      </w:pPr>
      <w:hyperlink r:id="rId12" w:history="1">
        <w:r w:rsidRPr="005F215D">
          <w:rPr>
            <w:rStyle w:val="Hyperlink"/>
            <w:rFonts w:ascii="Arial" w:hAnsi="Arial" w:cs="Arial"/>
          </w:rPr>
          <w:t>https://chanrobles.com/republicactno8545.htm#google_vignette</w:t>
        </w:r>
      </w:hyperlink>
    </w:p>
    <w:p w14:paraId="61ABA549" w14:textId="7107018A" w:rsidR="00DD7E92" w:rsidRPr="003B6DD2" w:rsidRDefault="00DD7E92" w:rsidP="003B6DD2">
      <w:pPr>
        <w:rPr>
          <w:rFonts w:ascii="Arial" w:hAnsi="Arial" w:cs="Arial"/>
          <w:lang w:val="en-US"/>
        </w:rPr>
      </w:pPr>
    </w:p>
    <w:p w14:paraId="53B0262A" w14:textId="43D712F1" w:rsidR="00DD7E92" w:rsidRPr="009A3F84" w:rsidRDefault="00DD7E92" w:rsidP="009A3F84">
      <w:pPr>
        <w:pStyle w:val="ListParagraph"/>
        <w:numPr>
          <w:ilvl w:val="0"/>
          <w:numId w:val="1"/>
        </w:numPr>
        <w:rPr>
          <w:rFonts w:ascii="Arial" w:hAnsi="Arial" w:cs="Arial"/>
          <w:lang w:val="en-US"/>
        </w:rPr>
      </w:pPr>
      <w:r>
        <w:rPr>
          <w:rFonts w:ascii="Arial" w:hAnsi="Arial" w:cs="Arial"/>
          <w:lang w:val="en-US"/>
        </w:rPr>
        <w:t>Discussion Proper</w:t>
      </w:r>
    </w:p>
    <w:p w14:paraId="66D8C932" w14:textId="74C11FC3" w:rsidR="00DD7E92" w:rsidRDefault="00DD7E92" w:rsidP="00DD7E92">
      <w:pPr>
        <w:pStyle w:val="ListParagraph"/>
        <w:numPr>
          <w:ilvl w:val="0"/>
          <w:numId w:val="5"/>
        </w:numPr>
        <w:rPr>
          <w:rFonts w:ascii="Arial" w:hAnsi="Arial" w:cs="Arial"/>
          <w:lang w:val="en-US"/>
        </w:rPr>
      </w:pPr>
      <w:r>
        <w:rPr>
          <w:rFonts w:ascii="Arial" w:hAnsi="Arial" w:cs="Arial"/>
          <w:lang w:val="en-US"/>
        </w:rPr>
        <w:t>Motivation</w:t>
      </w:r>
      <w:r w:rsidR="00164F25">
        <w:rPr>
          <w:rFonts w:ascii="Arial" w:hAnsi="Arial" w:cs="Arial"/>
          <w:lang w:val="en-US"/>
        </w:rPr>
        <w:t>/Unlocking Difficulties</w:t>
      </w:r>
    </w:p>
    <w:p w14:paraId="0F274E81" w14:textId="7B899602" w:rsidR="00F46364" w:rsidRDefault="008F2D6F" w:rsidP="00F46364">
      <w:pPr>
        <w:pStyle w:val="ListParagraph"/>
        <w:numPr>
          <w:ilvl w:val="0"/>
          <w:numId w:val="5"/>
        </w:numPr>
        <w:rPr>
          <w:rFonts w:ascii="Arial" w:hAnsi="Arial" w:cs="Arial"/>
          <w:lang w:val="en-US"/>
        </w:rPr>
      </w:pPr>
      <w:r>
        <w:rPr>
          <w:rFonts w:ascii="Arial" w:hAnsi="Arial" w:cs="Arial"/>
          <w:lang w:val="en-US"/>
        </w:rPr>
        <w:t>Discussion</w:t>
      </w:r>
      <w:r w:rsidR="00F46364">
        <w:rPr>
          <w:rFonts w:ascii="Arial" w:hAnsi="Arial" w:cs="Arial"/>
          <w:lang w:val="en-US"/>
        </w:rPr>
        <w:t xml:space="preserve"> </w:t>
      </w:r>
    </w:p>
    <w:p w14:paraId="5FDB584E" w14:textId="77777777" w:rsidR="00F46364" w:rsidRPr="00F46364" w:rsidRDefault="00F46364" w:rsidP="00F46364">
      <w:pPr>
        <w:rPr>
          <w:rFonts w:ascii="Arial" w:hAnsi="Arial" w:cs="Arial"/>
        </w:rPr>
      </w:pPr>
      <w:r w:rsidRPr="00F46364">
        <w:rPr>
          <w:rFonts w:ascii="Arial" w:hAnsi="Arial" w:cs="Arial"/>
        </w:rPr>
        <w:t>In this discussion, I will explore the various laws that shape the teaching profession, from certification requirements to the rights and responsibilities of educators. Together, we’ll examine how these legal frameworks influence the way teachers educate, interact with students, and contribute to the overall educational system. Let’s uncover the essential rules that guide the profession and ensure that teaching remains a respected and effective career.</w:t>
      </w:r>
    </w:p>
    <w:p w14:paraId="7CD7973A" w14:textId="77777777" w:rsidR="00F46364" w:rsidRPr="00F46364" w:rsidRDefault="00F46364" w:rsidP="00F46364">
      <w:pPr>
        <w:pStyle w:val="ListParagraph"/>
        <w:numPr>
          <w:ilvl w:val="0"/>
          <w:numId w:val="7"/>
        </w:numPr>
        <w:spacing w:after="160" w:line="259" w:lineRule="auto"/>
        <w:rPr>
          <w:rStyle w:val="oypena"/>
          <w:rFonts w:ascii="Arial" w:hAnsi="Arial" w:cs="Arial"/>
          <w:b/>
        </w:rPr>
      </w:pPr>
      <w:r w:rsidRPr="00F46364">
        <w:rPr>
          <w:rStyle w:val="oypena"/>
          <w:rFonts w:ascii="Arial" w:hAnsi="Arial" w:cs="Arial"/>
          <w:b/>
          <w:color w:val="000000"/>
        </w:rPr>
        <w:t>R.A 6728 - Government assistance to students and teachers in private education act</w:t>
      </w:r>
    </w:p>
    <w:p w14:paraId="75D185AD" w14:textId="49C48EA1" w:rsidR="00F46364" w:rsidRPr="00F46364" w:rsidRDefault="00F46364" w:rsidP="00F46364">
      <w:pPr>
        <w:pStyle w:val="ListParagraph"/>
        <w:rPr>
          <w:rStyle w:val="oypena"/>
          <w:rFonts w:ascii="Arial" w:hAnsi="Arial" w:cs="Arial"/>
          <w:color w:val="000000"/>
        </w:rPr>
      </w:pPr>
      <w:r>
        <w:rPr>
          <w:rStyle w:val="oypena"/>
          <w:rFonts w:ascii="Arial" w:hAnsi="Arial" w:cs="Arial"/>
          <w:color w:val="000000"/>
        </w:rPr>
        <w:t xml:space="preserve">                     </w:t>
      </w:r>
    </w:p>
    <w:p w14:paraId="02023690" w14:textId="02810B8A" w:rsidR="00F46364" w:rsidRDefault="00F46364" w:rsidP="00F46364">
      <w:pPr>
        <w:pStyle w:val="ListParagraph"/>
        <w:numPr>
          <w:ilvl w:val="0"/>
          <w:numId w:val="8"/>
        </w:numPr>
        <w:spacing w:after="160" w:line="259" w:lineRule="auto"/>
      </w:pPr>
      <w:r w:rsidRPr="00F46364">
        <w:rPr>
          <w:rFonts w:ascii="Arial" w:hAnsi="Arial" w:cs="Arial"/>
        </w:rPr>
        <w:t>The R.A 6728. Is a government law that aimed accessibility to quality education, especially in private institutions, and the enhancement of teach</w:t>
      </w:r>
      <w:r>
        <w:rPr>
          <w:rFonts w:ascii="Arial" w:hAnsi="Arial" w:cs="Arial"/>
        </w:rPr>
        <w:t xml:space="preserve">ing standards in these </w:t>
      </w:r>
      <w:proofErr w:type="gramStart"/>
      <w:r>
        <w:rPr>
          <w:rFonts w:ascii="Arial" w:hAnsi="Arial" w:cs="Arial"/>
        </w:rPr>
        <w:t>schools.</w:t>
      </w:r>
      <w:proofErr w:type="gramEnd"/>
      <w:r>
        <w:t xml:space="preserve"> </w:t>
      </w:r>
    </w:p>
    <w:p w14:paraId="2BA44EA1" w14:textId="77777777" w:rsidR="00F46364" w:rsidRDefault="00F46364" w:rsidP="00F46364">
      <w:pPr>
        <w:pStyle w:val="ListParagraph"/>
        <w:spacing w:after="160" w:line="259" w:lineRule="auto"/>
      </w:pPr>
    </w:p>
    <w:p w14:paraId="29F3D767" w14:textId="14A096B3" w:rsidR="00F46364" w:rsidRPr="00F46364" w:rsidRDefault="00F46364" w:rsidP="00F46364">
      <w:pPr>
        <w:rPr>
          <w:rFonts w:ascii="Arial" w:hAnsi="Arial" w:cs="Arial"/>
          <w:b/>
        </w:rPr>
      </w:pPr>
      <w:r w:rsidRPr="00F46364">
        <w:rPr>
          <w:rFonts w:ascii="Arial" w:hAnsi="Arial" w:cs="Arial"/>
          <w:b/>
        </w:rPr>
        <w:lastRenderedPageBreak/>
        <w:t>OBJECTIVES</w:t>
      </w:r>
    </w:p>
    <w:p w14:paraId="6FC20D31" w14:textId="77777777" w:rsidR="00F46364" w:rsidRPr="00F46364" w:rsidRDefault="00F46364" w:rsidP="00F46364">
      <w:pPr>
        <w:rPr>
          <w:rFonts w:ascii="Arial" w:hAnsi="Arial" w:cs="Arial"/>
          <w:b/>
        </w:rPr>
      </w:pPr>
    </w:p>
    <w:p w14:paraId="0A9B60E4" w14:textId="64BCCD15" w:rsidR="00F46364" w:rsidRPr="00F46364" w:rsidRDefault="00F46364" w:rsidP="00F46364">
      <w:pPr>
        <w:pStyle w:val="ListParagraph"/>
        <w:numPr>
          <w:ilvl w:val="0"/>
          <w:numId w:val="9"/>
        </w:numPr>
        <w:spacing w:after="160" w:line="259" w:lineRule="auto"/>
        <w:rPr>
          <w:rStyle w:val="oypena"/>
          <w:rFonts w:ascii="Arial" w:hAnsi="Arial" w:cs="Arial"/>
        </w:rPr>
      </w:pPr>
      <w:r w:rsidRPr="00F46364">
        <w:rPr>
          <w:rStyle w:val="oypena"/>
          <w:rFonts w:ascii="Arial" w:hAnsi="Arial" w:cs="Arial"/>
          <w:color w:val="000000"/>
        </w:rPr>
        <w:t>This law helps them to cover the cost of tuition and other school-related expenses. The goal is to make private education more affordable for students who may not be able to afford the full tuition fees</w:t>
      </w:r>
      <w:r>
        <w:rPr>
          <w:rStyle w:val="oypena"/>
          <w:rFonts w:ascii="Arial" w:hAnsi="Arial" w:cs="Arial"/>
          <w:color w:val="000000"/>
        </w:rPr>
        <w:t>.</w:t>
      </w:r>
    </w:p>
    <w:p w14:paraId="05E0C67A" w14:textId="77777777" w:rsidR="00F46364" w:rsidRPr="00F46364" w:rsidRDefault="00F46364" w:rsidP="00F46364">
      <w:pPr>
        <w:pStyle w:val="ListParagraph"/>
        <w:rPr>
          <w:rStyle w:val="oypena"/>
          <w:rFonts w:ascii="Arial" w:hAnsi="Arial" w:cs="Arial"/>
        </w:rPr>
      </w:pPr>
    </w:p>
    <w:p w14:paraId="1B2AD9EA" w14:textId="77777777" w:rsidR="00F46364" w:rsidRPr="00F46364" w:rsidRDefault="00F46364" w:rsidP="00F46364">
      <w:pPr>
        <w:pStyle w:val="ListParagraph"/>
        <w:numPr>
          <w:ilvl w:val="0"/>
          <w:numId w:val="9"/>
        </w:numPr>
        <w:spacing w:after="160" w:line="259" w:lineRule="auto"/>
        <w:rPr>
          <w:rStyle w:val="oypena"/>
          <w:rFonts w:ascii="Arial" w:hAnsi="Arial" w:cs="Arial"/>
        </w:rPr>
      </w:pPr>
      <w:r w:rsidRPr="00F46364">
        <w:rPr>
          <w:rStyle w:val="oypena"/>
          <w:rFonts w:ascii="Arial" w:hAnsi="Arial" w:cs="Arial"/>
          <w:color w:val="000000"/>
        </w:rPr>
        <w:t xml:space="preserve">This includes funding for training, workshops, and advanced academic programs to enhance teachers’ skills and qualifications. </w:t>
      </w:r>
      <w:r w:rsidRPr="00F46364">
        <w:rPr>
          <w:rFonts w:ascii="Arial" w:hAnsi="Arial" w:cs="Arial"/>
        </w:rPr>
        <w:t xml:space="preserve">The law acknowledges the crucial role of </w:t>
      </w:r>
      <w:r w:rsidRPr="00F46364">
        <w:rPr>
          <w:rStyle w:val="Strong"/>
          <w:rFonts w:ascii="Arial" w:hAnsi="Arial" w:cs="Arial"/>
          <w:b w:val="0"/>
        </w:rPr>
        <w:t>high-quality teaching</w:t>
      </w:r>
      <w:r w:rsidRPr="00F46364">
        <w:rPr>
          <w:rFonts w:ascii="Arial" w:hAnsi="Arial" w:cs="Arial"/>
        </w:rPr>
        <w:t xml:space="preserve"> and offers </w:t>
      </w:r>
      <w:r w:rsidRPr="00F46364">
        <w:rPr>
          <w:rStyle w:val="Strong"/>
          <w:rFonts w:ascii="Arial" w:hAnsi="Arial" w:cs="Arial"/>
          <w:b w:val="0"/>
        </w:rPr>
        <w:t>training</w:t>
      </w:r>
      <w:r w:rsidRPr="00F46364">
        <w:rPr>
          <w:rStyle w:val="Strong"/>
          <w:rFonts w:ascii="Arial" w:hAnsi="Arial" w:cs="Arial"/>
        </w:rPr>
        <w:t xml:space="preserve"> </w:t>
      </w:r>
      <w:r w:rsidRPr="00F46364">
        <w:rPr>
          <w:rStyle w:val="Strong"/>
          <w:rFonts w:ascii="Arial" w:hAnsi="Arial" w:cs="Arial"/>
          <w:b w:val="0"/>
        </w:rPr>
        <w:t>programs</w:t>
      </w:r>
      <w:r w:rsidRPr="00F46364">
        <w:rPr>
          <w:rFonts w:ascii="Arial" w:hAnsi="Arial" w:cs="Arial"/>
        </w:rPr>
        <w:t xml:space="preserve"> for teachers in private schools to help them improve their skills and knowledge.</w:t>
      </w:r>
    </w:p>
    <w:p w14:paraId="55F6A433" w14:textId="77777777" w:rsidR="00F46364" w:rsidRPr="00F46364" w:rsidRDefault="00F46364" w:rsidP="00F46364">
      <w:pPr>
        <w:pStyle w:val="ListParagraph"/>
        <w:rPr>
          <w:rFonts w:ascii="Arial" w:hAnsi="Arial" w:cs="Arial"/>
        </w:rPr>
      </w:pPr>
    </w:p>
    <w:p w14:paraId="72060939" w14:textId="77777777" w:rsidR="00F46364" w:rsidRPr="00F46364" w:rsidRDefault="00F46364" w:rsidP="00F46364">
      <w:pPr>
        <w:pStyle w:val="ListParagraph"/>
        <w:numPr>
          <w:ilvl w:val="0"/>
          <w:numId w:val="9"/>
        </w:numPr>
        <w:spacing w:after="160" w:line="259" w:lineRule="auto"/>
        <w:rPr>
          <w:rFonts w:ascii="Arial" w:hAnsi="Arial" w:cs="Arial"/>
        </w:rPr>
      </w:pPr>
      <w:r w:rsidRPr="00F46364">
        <w:rPr>
          <w:rFonts w:ascii="Arial" w:hAnsi="Arial" w:cs="Arial"/>
        </w:rPr>
        <w:t xml:space="preserve">The </w:t>
      </w:r>
      <w:r w:rsidRPr="00F46364">
        <w:rPr>
          <w:rStyle w:val="Strong"/>
          <w:rFonts w:ascii="Arial" w:hAnsi="Arial" w:cs="Arial"/>
          <w:b w:val="0"/>
        </w:rPr>
        <w:t>financial support</w:t>
      </w:r>
      <w:r w:rsidRPr="00F46364">
        <w:rPr>
          <w:rFonts w:ascii="Arial" w:hAnsi="Arial" w:cs="Arial"/>
        </w:rPr>
        <w:t xml:space="preserve"> given to private schools allows them to </w:t>
      </w:r>
      <w:r w:rsidRPr="00F46364">
        <w:rPr>
          <w:rStyle w:val="Strong"/>
          <w:rFonts w:ascii="Arial" w:hAnsi="Arial" w:cs="Arial"/>
          <w:b w:val="0"/>
        </w:rPr>
        <w:t>sustain their</w:t>
      </w:r>
      <w:r w:rsidRPr="00F46364">
        <w:rPr>
          <w:rStyle w:val="Strong"/>
          <w:rFonts w:ascii="Arial" w:hAnsi="Arial" w:cs="Arial"/>
        </w:rPr>
        <w:t xml:space="preserve"> </w:t>
      </w:r>
      <w:r w:rsidRPr="00F46364">
        <w:rPr>
          <w:rStyle w:val="Strong"/>
          <w:rFonts w:ascii="Arial" w:hAnsi="Arial" w:cs="Arial"/>
          <w:b w:val="0"/>
        </w:rPr>
        <w:t>activities</w:t>
      </w:r>
      <w:r w:rsidRPr="00F46364">
        <w:rPr>
          <w:rFonts w:ascii="Arial" w:hAnsi="Arial" w:cs="Arial"/>
          <w:b/>
        </w:rPr>
        <w:t>,</w:t>
      </w:r>
      <w:r w:rsidRPr="00F46364">
        <w:rPr>
          <w:rFonts w:ascii="Arial" w:hAnsi="Arial" w:cs="Arial"/>
        </w:rPr>
        <w:t xml:space="preserve"> especially during </w:t>
      </w:r>
      <w:r w:rsidRPr="00F46364">
        <w:rPr>
          <w:rStyle w:val="Strong"/>
          <w:rFonts w:ascii="Arial" w:hAnsi="Arial" w:cs="Arial"/>
          <w:b w:val="0"/>
        </w:rPr>
        <w:t>economic challenges</w:t>
      </w:r>
      <w:r w:rsidRPr="00F46364">
        <w:rPr>
          <w:rFonts w:ascii="Arial" w:hAnsi="Arial" w:cs="Arial"/>
        </w:rPr>
        <w:t xml:space="preserve">. This assistance helps ensure that private schools stay </w:t>
      </w:r>
      <w:r w:rsidRPr="00F46364">
        <w:rPr>
          <w:rStyle w:val="Strong"/>
          <w:rFonts w:ascii="Arial" w:hAnsi="Arial" w:cs="Arial"/>
          <w:b w:val="0"/>
        </w:rPr>
        <w:t>financially stable</w:t>
      </w:r>
      <w:r w:rsidRPr="00F46364">
        <w:rPr>
          <w:rFonts w:ascii="Arial" w:hAnsi="Arial" w:cs="Arial"/>
        </w:rPr>
        <w:t xml:space="preserve"> and can keep offering </w:t>
      </w:r>
      <w:r w:rsidRPr="00F46364">
        <w:rPr>
          <w:rStyle w:val="Strong"/>
          <w:rFonts w:ascii="Arial" w:hAnsi="Arial" w:cs="Arial"/>
          <w:b w:val="0"/>
        </w:rPr>
        <w:t>quality education</w:t>
      </w:r>
      <w:r w:rsidRPr="00F46364">
        <w:rPr>
          <w:rFonts w:ascii="Arial" w:hAnsi="Arial" w:cs="Arial"/>
          <w:b/>
        </w:rPr>
        <w:t>,</w:t>
      </w:r>
      <w:r w:rsidRPr="00F46364">
        <w:rPr>
          <w:rFonts w:ascii="Arial" w:hAnsi="Arial" w:cs="Arial"/>
        </w:rPr>
        <w:t xml:space="preserve"> particularly in areas where public schools might be </w:t>
      </w:r>
      <w:r w:rsidRPr="00F46364">
        <w:rPr>
          <w:rStyle w:val="Strong"/>
          <w:rFonts w:ascii="Arial" w:hAnsi="Arial" w:cs="Arial"/>
          <w:b w:val="0"/>
        </w:rPr>
        <w:t>overcrowded</w:t>
      </w:r>
      <w:r w:rsidRPr="00F46364">
        <w:rPr>
          <w:rFonts w:ascii="Arial" w:hAnsi="Arial" w:cs="Arial"/>
        </w:rPr>
        <w:t xml:space="preserve"> or lack sufficient funding. It ensures that these private schools can continue to operate and provide education to students.</w:t>
      </w:r>
    </w:p>
    <w:p w14:paraId="6C9CC198" w14:textId="4881E029" w:rsidR="00F46364" w:rsidRDefault="00F46364" w:rsidP="00F46364">
      <w:pPr>
        <w:rPr>
          <w:rFonts w:ascii="Arial" w:hAnsi="Arial" w:cs="Arial"/>
          <w:b/>
        </w:rPr>
      </w:pPr>
      <w:r w:rsidRPr="00F46364">
        <w:rPr>
          <w:rFonts w:ascii="Arial" w:hAnsi="Arial" w:cs="Arial"/>
          <w:b/>
        </w:rPr>
        <w:t>IMPACT</w:t>
      </w:r>
    </w:p>
    <w:p w14:paraId="398172BD" w14:textId="77777777" w:rsidR="00E6561A" w:rsidRPr="00F46364" w:rsidRDefault="00E6561A" w:rsidP="00F46364">
      <w:pPr>
        <w:rPr>
          <w:rFonts w:ascii="Arial" w:hAnsi="Arial" w:cs="Arial"/>
          <w:b/>
        </w:rPr>
      </w:pPr>
      <w:bookmarkStart w:id="0" w:name="_GoBack"/>
      <w:bookmarkEnd w:id="0"/>
    </w:p>
    <w:p w14:paraId="54BBE804" w14:textId="77777777" w:rsidR="00F46364" w:rsidRPr="00F46364" w:rsidRDefault="00F46364" w:rsidP="00F46364">
      <w:pPr>
        <w:pStyle w:val="ListParagraph"/>
        <w:numPr>
          <w:ilvl w:val="0"/>
          <w:numId w:val="10"/>
        </w:numPr>
        <w:spacing w:after="160" w:line="259" w:lineRule="auto"/>
        <w:rPr>
          <w:rStyle w:val="Strong"/>
          <w:rFonts w:ascii="Arial" w:hAnsi="Arial" w:cs="Arial"/>
          <w:bCs w:val="0"/>
        </w:rPr>
      </w:pPr>
      <w:r w:rsidRPr="00F46364">
        <w:rPr>
          <w:rStyle w:val="Strong"/>
          <w:rFonts w:ascii="Arial" w:hAnsi="Arial" w:cs="Arial"/>
        </w:rPr>
        <w:t>Increased Access to Private Education</w:t>
      </w:r>
    </w:p>
    <w:p w14:paraId="47C0CEC6" w14:textId="77777777" w:rsidR="00F46364" w:rsidRPr="00F46364" w:rsidRDefault="00F46364" w:rsidP="00F46364">
      <w:pPr>
        <w:pStyle w:val="ListParagraph"/>
        <w:numPr>
          <w:ilvl w:val="0"/>
          <w:numId w:val="8"/>
        </w:numPr>
        <w:spacing w:after="160" w:line="259" w:lineRule="auto"/>
        <w:rPr>
          <w:rFonts w:ascii="Arial" w:hAnsi="Arial" w:cs="Arial"/>
        </w:rPr>
      </w:pPr>
      <w:r w:rsidRPr="00F46364">
        <w:rPr>
          <w:rFonts w:ascii="Arial" w:hAnsi="Arial" w:cs="Arial"/>
        </w:rPr>
        <w:t>With the financial assistance, students now have more options when choosing a school, allowing them to pursue a quality education in private institutions with better resources, smaller class sizes, and specialized programs.</w:t>
      </w:r>
    </w:p>
    <w:p w14:paraId="4AC95C4B" w14:textId="77777777" w:rsidR="00F46364" w:rsidRPr="00F46364" w:rsidRDefault="00F46364" w:rsidP="00F46364">
      <w:pPr>
        <w:pStyle w:val="ListParagraph"/>
        <w:numPr>
          <w:ilvl w:val="0"/>
          <w:numId w:val="10"/>
        </w:numPr>
        <w:spacing w:after="160" w:line="259" w:lineRule="auto"/>
        <w:rPr>
          <w:rFonts w:ascii="Arial" w:hAnsi="Arial" w:cs="Arial"/>
          <w:b/>
        </w:rPr>
      </w:pPr>
      <w:r w:rsidRPr="00F46364">
        <w:rPr>
          <w:rFonts w:ascii="Arial" w:hAnsi="Arial" w:cs="Arial"/>
          <w:b/>
        </w:rPr>
        <w:t xml:space="preserve">Improved Quality of Teaching </w:t>
      </w:r>
    </w:p>
    <w:p w14:paraId="29E68556" w14:textId="77777777" w:rsidR="00F46364" w:rsidRPr="00F46364" w:rsidRDefault="00F46364" w:rsidP="00F46364">
      <w:pPr>
        <w:pStyle w:val="ListParagraph"/>
        <w:numPr>
          <w:ilvl w:val="0"/>
          <w:numId w:val="8"/>
        </w:numPr>
        <w:spacing w:after="160" w:line="259" w:lineRule="auto"/>
        <w:rPr>
          <w:rFonts w:ascii="Arial" w:hAnsi="Arial" w:cs="Arial"/>
        </w:rPr>
      </w:pPr>
      <w:r w:rsidRPr="00F46364">
        <w:rPr>
          <w:rFonts w:ascii="Arial" w:hAnsi="Arial" w:cs="Arial"/>
        </w:rPr>
        <w:t>By offering continuous learning opportunities and incentives, the law has helped retain skilled and qualified teachers in the private education sector. This has led to a more stable and competent teaching force.</w:t>
      </w:r>
    </w:p>
    <w:p w14:paraId="0B95F0CA" w14:textId="77777777" w:rsidR="00F46364" w:rsidRPr="00F46364" w:rsidRDefault="00F46364" w:rsidP="00F46364">
      <w:pPr>
        <w:pStyle w:val="ListParagraph"/>
        <w:numPr>
          <w:ilvl w:val="0"/>
          <w:numId w:val="10"/>
        </w:numPr>
        <w:spacing w:after="160" w:line="259" w:lineRule="auto"/>
        <w:rPr>
          <w:rFonts w:ascii="Arial" w:hAnsi="Arial" w:cs="Arial"/>
          <w:b/>
        </w:rPr>
      </w:pPr>
      <w:r w:rsidRPr="00F46364">
        <w:rPr>
          <w:rFonts w:ascii="Arial" w:hAnsi="Arial" w:cs="Arial"/>
          <w:b/>
        </w:rPr>
        <w:t>Sustainability of Private Schools</w:t>
      </w:r>
    </w:p>
    <w:p w14:paraId="12431FDF" w14:textId="77777777" w:rsidR="00F46364" w:rsidRPr="00F46364" w:rsidRDefault="00F46364" w:rsidP="00F46364">
      <w:pPr>
        <w:pStyle w:val="ListParagraph"/>
        <w:numPr>
          <w:ilvl w:val="0"/>
          <w:numId w:val="8"/>
        </w:numPr>
        <w:spacing w:after="160" w:line="259" w:lineRule="auto"/>
        <w:rPr>
          <w:rFonts w:ascii="Arial" w:hAnsi="Arial" w:cs="Arial"/>
        </w:rPr>
      </w:pPr>
      <w:r w:rsidRPr="00F46364">
        <w:rPr>
          <w:rFonts w:ascii="Arial" w:hAnsi="Arial" w:cs="Arial"/>
        </w:rPr>
        <w:t>This is especially important in areas where public schools may be overcrowded or lack sufficient resources. The law has also enabled private schools to improve their facilities, classroom resources, and educational tools, ensuring that students receive a more conducive learning environment.</w:t>
      </w:r>
    </w:p>
    <w:p w14:paraId="684CB379" w14:textId="77777777" w:rsidR="00F46364" w:rsidRPr="00F46364" w:rsidRDefault="00F46364" w:rsidP="00F46364">
      <w:pPr>
        <w:ind w:left="1080"/>
        <w:rPr>
          <w:rFonts w:ascii="Arial" w:hAnsi="Arial" w:cs="Arial"/>
          <w:lang w:val="en-US"/>
        </w:rPr>
      </w:pPr>
    </w:p>
    <w:p w14:paraId="1924C013" w14:textId="77777777" w:rsidR="00DD7E92" w:rsidRDefault="00DD7E92" w:rsidP="00DD7E92">
      <w:pPr>
        <w:rPr>
          <w:rFonts w:ascii="Arial" w:hAnsi="Arial" w:cs="Arial"/>
          <w:lang w:val="en-US"/>
        </w:rPr>
      </w:pPr>
    </w:p>
    <w:p w14:paraId="74B4DD27" w14:textId="7A7DC053" w:rsidR="00DD7E92" w:rsidRDefault="00164F25" w:rsidP="00DD7E92">
      <w:pPr>
        <w:pStyle w:val="ListParagraph"/>
        <w:numPr>
          <w:ilvl w:val="0"/>
          <w:numId w:val="1"/>
        </w:numPr>
        <w:rPr>
          <w:rFonts w:ascii="Arial" w:hAnsi="Arial" w:cs="Arial"/>
          <w:lang w:val="en-US"/>
        </w:rPr>
      </w:pPr>
      <w:r>
        <w:rPr>
          <w:rFonts w:ascii="Arial" w:hAnsi="Arial" w:cs="Arial"/>
          <w:lang w:val="en-US"/>
        </w:rPr>
        <w:t>Generalization</w:t>
      </w:r>
    </w:p>
    <w:p w14:paraId="7C6960CD" w14:textId="77777777" w:rsidR="00F46364" w:rsidRPr="00F46364" w:rsidRDefault="00F46364" w:rsidP="00F46364">
      <w:pPr>
        <w:pStyle w:val="NormalWeb"/>
        <w:ind w:left="360"/>
        <w:rPr>
          <w:rFonts w:ascii="Arial" w:hAnsi="Arial" w:cs="Arial"/>
        </w:rPr>
      </w:pPr>
      <w:r w:rsidRPr="00F46364">
        <w:rPr>
          <w:rFonts w:ascii="Arial" w:hAnsi="Arial" w:cs="Arial"/>
        </w:rPr>
        <w:t>In this discussion, we will explore the various laws that govern the teaching profession, focusing on how these legal frameworks shape the education system. This includes examining certification requirements, as well as the rights and responsibilities of educators. By understanding these laws, we gain insight into how they affect teachers' practices, their relationships with students, and their role in the broader educational context. Additionally, these legal frameworks ensure that teaching remains a respected and effective career, providing essential guidelines to maintain the quality and fairness of education.</w:t>
      </w:r>
    </w:p>
    <w:p w14:paraId="3622FABE" w14:textId="515ECF15" w:rsidR="00F46364" w:rsidRDefault="00F46364" w:rsidP="00F46364">
      <w:pPr>
        <w:pStyle w:val="NormalWeb"/>
        <w:rPr>
          <w:rStyle w:val="Strong"/>
          <w:rFonts w:ascii="Arial" w:hAnsi="Arial" w:cs="Arial"/>
          <w:b w:val="0"/>
        </w:rPr>
      </w:pPr>
      <w:r>
        <w:rPr>
          <w:rFonts w:ascii="Arial" w:hAnsi="Arial" w:cs="Arial"/>
        </w:rPr>
        <w:t xml:space="preserve">     </w:t>
      </w:r>
      <w:r w:rsidRPr="00F46364">
        <w:rPr>
          <w:rFonts w:ascii="Arial" w:hAnsi="Arial" w:cs="Arial"/>
        </w:rPr>
        <w:t xml:space="preserve">One such law is Republic Act No. 6728, known as the </w:t>
      </w:r>
      <w:r w:rsidRPr="00F46364">
        <w:rPr>
          <w:rStyle w:val="Strong"/>
          <w:rFonts w:ascii="Arial" w:hAnsi="Arial" w:cs="Arial"/>
          <w:b w:val="0"/>
        </w:rPr>
        <w:t>Government Assistance</w:t>
      </w:r>
      <w:r>
        <w:rPr>
          <w:rStyle w:val="Strong"/>
          <w:rFonts w:ascii="Arial" w:hAnsi="Arial" w:cs="Arial"/>
          <w:b w:val="0"/>
        </w:rPr>
        <w:t xml:space="preserve"> to</w:t>
      </w:r>
    </w:p>
    <w:p w14:paraId="791BAE4D" w14:textId="511FB57A" w:rsidR="00E6561A" w:rsidRDefault="00F46364" w:rsidP="00F46364">
      <w:pPr>
        <w:pStyle w:val="NormalWeb"/>
        <w:rPr>
          <w:rFonts w:ascii="Arial" w:hAnsi="Arial" w:cs="Arial"/>
        </w:rPr>
      </w:pPr>
      <w:r>
        <w:rPr>
          <w:rStyle w:val="Strong"/>
          <w:rFonts w:ascii="Arial" w:hAnsi="Arial" w:cs="Arial"/>
        </w:rPr>
        <w:lastRenderedPageBreak/>
        <w:t xml:space="preserve"> </w:t>
      </w:r>
      <w:r w:rsidRPr="00F46364">
        <w:rPr>
          <w:rStyle w:val="Strong"/>
          <w:rFonts w:ascii="Arial" w:hAnsi="Arial" w:cs="Arial"/>
          <w:b w:val="0"/>
        </w:rPr>
        <w:t>Students and Teachers in Private Education Act</w:t>
      </w:r>
      <w:r w:rsidRPr="00F46364">
        <w:rPr>
          <w:rFonts w:ascii="Arial" w:hAnsi="Arial" w:cs="Arial"/>
        </w:rPr>
        <w:t>. This law plays a crucial role in making private education more accessible and improving the overall quality of teaching within the private sector. By providing financial assistance to students and professional development programs for teachers, it ensures that both students and educators in private institutions can benefit from better resources and enhanced skills. The law not only helps cover the cost of tuition for students but also supports the professional growth of teachers through training and workshops. Additionally, it offers financial support to private schools, helping them maintain stability and continue providing quality education, especially in areas where public schools may be lacking.</w:t>
      </w:r>
    </w:p>
    <w:p w14:paraId="12F1EB38" w14:textId="168B4D28" w:rsidR="00F46364" w:rsidRPr="00F46364" w:rsidRDefault="00F46364" w:rsidP="00F46364">
      <w:pPr>
        <w:pStyle w:val="NormalWeb"/>
        <w:rPr>
          <w:rFonts w:ascii="Arial" w:hAnsi="Arial" w:cs="Arial"/>
        </w:rPr>
      </w:pPr>
      <w:r w:rsidRPr="00F46364">
        <w:rPr>
          <w:rFonts w:ascii="Arial" w:hAnsi="Arial" w:cs="Arial"/>
        </w:rPr>
        <w:t>The objectives of R.A. 6728 include increasing access to private education by making it more affordable for students and ensuring that teachers in private institutions have opportunities to enhance their qualifications. The law also aids in maintaining the financial stability of private schools, ensuring they can continue operating and offering quality education even in challenging economic times.</w:t>
      </w:r>
    </w:p>
    <w:p w14:paraId="2358B8FF" w14:textId="27467167" w:rsidR="00F46364" w:rsidRPr="00F46364" w:rsidRDefault="00F46364" w:rsidP="00F46364">
      <w:pPr>
        <w:pStyle w:val="NormalWeb"/>
        <w:rPr>
          <w:rFonts w:ascii="Arial" w:hAnsi="Arial" w:cs="Arial"/>
        </w:rPr>
      </w:pPr>
      <w:r w:rsidRPr="00F46364">
        <w:rPr>
          <w:rFonts w:ascii="Arial" w:hAnsi="Arial" w:cs="Arial"/>
        </w:rPr>
        <w:t>The impact of this law is significant, leading to increased access to private education, improved quality of teaching through professional development, and the sustainability of private schools. Students now have more options and better resources in private institutions, teachers benefit from continuous training, and schools can upgrade their facilities and educational tools, ensuring a better learning environment for students.</w:t>
      </w:r>
    </w:p>
    <w:p w14:paraId="3EA60F79" w14:textId="62718538" w:rsidR="00DD7E92" w:rsidRDefault="008F2D6F" w:rsidP="00DD7E92">
      <w:pPr>
        <w:pStyle w:val="ListParagraph"/>
        <w:numPr>
          <w:ilvl w:val="0"/>
          <w:numId w:val="1"/>
        </w:numPr>
        <w:rPr>
          <w:rFonts w:ascii="Arial" w:hAnsi="Arial" w:cs="Arial"/>
          <w:lang w:val="en-US"/>
        </w:rPr>
      </w:pPr>
      <w:r>
        <w:rPr>
          <w:rFonts w:ascii="Arial" w:hAnsi="Arial" w:cs="Arial"/>
          <w:lang w:val="en-US"/>
        </w:rPr>
        <w:t>Assignment</w:t>
      </w:r>
    </w:p>
    <w:p w14:paraId="78480C1D" w14:textId="77777777" w:rsidR="006A04A1" w:rsidRDefault="006A04A1" w:rsidP="006A04A1">
      <w:pPr>
        <w:rPr>
          <w:rFonts w:ascii="Arial" w:hAnsi="Arial" w:cs="Arial"/>
          <w:lang w:val="en-US"/>
        </w:rPr>
      </w:pPr>
    </w:p>
    <w:p w14:paraId="3762600A" w14:textId="77777777" w:rsidR="006A04A1" w:rsidRDefault="006A04A1" w:rsidP="006A04A1">
      <w:pPr>
        <w:rPr>
          <w:rFonts w:ascii="Arial" w:hAnsi="Arial" w:cs="Arial"/>
          <w:lang w:val="en-US"/>
        </w:rPr>
      </w:pPr>
    </w:p>
    <w:p w14:paraId="2260D089" w14:textId="77777777" w:rsidR="00164F25" w:rsidRDefault="00164F25" w:rsidP="006A04A1">
      <w:pPr>
        <w:rPr>
          <w:rFonts w:ascii="Arial" w:hAnsi="Arial" w:cs="Arial"/>
          <w:lang w:val="en-US"/>
        </w:rPr>
      </w:pPr>
    </w:p>
    <w:p w14:paraId="4E04A47D" w14:textId="0BE8B792" w:rsidR="006A04A1" w:rsidRDefault="006A04A1" w:rsidP="006A04A1">
      <w:pPr>
        <w:rPr>
          <w:rFonts w:ascii="Arial" w:hAnsi="Arial" w:cs="Arial"/>
          <w:lang w:val="en-US"/>
        </w:rPr>
      </w:pPr>
      <w:r>
        <w:rPr>
          <w:rFonts w:ascii="Arial" w:hAnsi="Arial" w:cs="Arial"/>
          <w:lang w:val="en-US"/>
        </w:rPr>
        <w:t>Prepared by:</w:t>
      </w:r>
    </w:p>
    <w:p w14:paraId="4C722CFC" w14:textId="77777777" w:rsidR="006A04A1" w:rsidRDefault="006A04A1" w:rsidP="006A04A1">
      <w:pPr>
        <w:rPr>
          <w:rFonts w:ascii="Arial" w:hAnsi="Arial" w:cs="Arial"/>
          <w:lang w:val="en-US"/>
        </w:rPr>
      </w:pPr>
    </w:p>
    <w:p w14:paraId="271D97E9" w14:textId="77777777" w:rsidR="006A04A1" w:rsidRDefault="006A04A1" w:rsidP="006A04A1">
      <w:pPr>
        <w:rPr>
          <w:rFonts w:ascii="Arial" w:hAnsi="Arial" w:cs="Arial"/>
          <w:lang w:val="en-US"/>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3166"/>
      </w:tblGrid>
      <w:tr w:rsidR="001B0BDB" w:rsidRPr="00AE5654" w14:paraId="4400DEEF" w14:textId="77777777" w:rsidTr="00AE5654">
        <w:trPr>
          <w:trHeight w:val="275"/>
        </w:trPr>
        <w:tc>
          <w:tcPr>
            <w:tcW w:w="3166" w:type="dxa"/>
            <w:tcBorders>
              <w:top w:val="nil"/>
              <w:bottom w:val="single" w:sz="4" w:space="0" w:color="auto"/>
            </w:tcBorders>
          </w:tcPr>
          <w:p w14:paraId="5DD4B3C1" w14:textId="33F67000" w:rsidR="001B0BDB" w:rsidRPr="00AE5654" w:rsidRDefault="00F46364" w:rsidP="006A04A1">
            <w:pPr>
              <w:rPr>
                <w:rFonts w:ascii="Arial" w:hAnsi="Arial" w:cs="Arial"/>
                <w:sz w:val="20"/>
                <w:szCs w:val="20"/>
                <w:lang w:val="en-US"/>
              </w:rPr>
            </w:pPr>
            <w:proofErr w:type="spellStart"/>
            <w:r>
              <w:rPr>
                <w:rFonts w:ascii="Arial" w:hAnsi="Arial" w:cs="Arial"/>
                <w:sz w:val="20"/>
                <w:szCs w:val="20"/>
                <w:lang w:val="en-US"/>
              </w:rPr>
              <w:t>Lorrence</w:t>
            </w:r>
            <w:proofErr w:type="spellEnd"/>
            <w:r>
              <w:rPr>
                <w:rFonts w:ascii="Arial" w:hAnsi="Arial" w:cs="Arial"/>
                <w:sz w:val="20"/>
                <w:szCs w:val="20"/>
                <w:lang w:val="en-US"/>
              </w:rPr>
              <w:t xml:space="preserve"> Andrei B.</w:t>
            </w:r>
            <w:proofErr w:type="spellStart"/>
            <w:r>
              <w:rPr>
                <w:rFonts w:ascii="Arial" w:hAnsi="Arial" w:cs="Arial"/>
                <w:sz w:val="20"/>
                <w:szCs w:val="20"/>
                <w:lang w:val="en-US"/>
              </w:rPr>
              <w:t xml:space="preserve"> </w:t>
            </w:r>
            <w:proofErr w:type="spellEnd"/>
            <w:r>
              <w:rPr>
                <w:rFonts w:ascii="Arial" w:hAnsi="Arial" w:cs="Arial"/>
                <w:sz w:val="20"/>
                <w:szCs w:val="20"/>
                <w:lang w:val="en-US"/>
              </w:rPr>
              <w:t xml:space="preserve">Tabalno </w:t>
            </w:r>
            <w:r w:rsidR="00FC6618">
              <w:rPr>
                <w:rFonts w:ascii="Arial" w:hAnsi="Arial" w:cs="Arial"/>
                <w:sz w:val="20"/>
                <w:szCs w:val="20"/>
                <w:lang w:val="en-US"/>
              </w:rPr>
              <w:t>BTVTED-EST-1A</w:t>
            </w:r>
          </w:p>
        </w:tc>
      </w:tr>
      <w:tr w:rsidR="001B0BDB" w:rsidRPr="00AE5654" w14:paraId="61D4E236" w14:textId="77777777" w:rsidTr="00AE5654">
        <w:trPr>
          <w:trHeight w:val="275"/>
        </w:trPr>
        <w:tc>
          <w:tcPr>
            <w:tcW w:w="3166" w:type="dxa"/>
            <w:tcBorders>
              <w:bottom w:val="nil"/>
            </w:tcBorders>
          </w:tcPr>
          <w:p w14:paraId="70755F46" w14:textId="6E490CC2" w:rsidR="001B0BDB" w:rsidRPr="00AE5654" w:rsidRDefault="001B0BDB" w:rsidP="006A04A1">
            <w:pPr>
              <w:rPr>
                <w:rFonts w:ascii="Arial" w:hAnsi="Arial" w:cs="Arial"/>
                <w:sz w:val="20"/>
                <w:szCs w:val="20"/>
                <w:lang w:val="en-US"/>
              </w:rPr>
            </w:pPr>
            <w:r w:rsidRPr="00AE5654">
              <w:rPr>
                <w:rFonts w:ascii="Arial" w:hAnsi="Arial" w:cs="Arial"/>
                <w:sz w:val="20"/>
                <w:szCs w:val="20"/>
                <w:lang w:val="en-US"/>
              </w:rPr>
              <w:t>Student Name</w:t>
            </w:r>
            <w:r w:rsidR="00AE5654" w:rsidRPr="00AE5654">
              <w:rPr>
                <w:rFonts w:ascii="Arial" w:hAnsi="Arial" w:cs="Arial"/>
                <w:sz w:val="20"/>
                <w:szCs w:val="20"/>
                <w:lang w:val="en-US"/>
              </w:rPr>
              <w:t>, Course &amp; Section</w:t>
            </w:r>
          </w:p>
        </w:tc>
      </w:tr>
    </w:tbl>
    <w:p w14:paraId="474B8C1F" w14:textId="77777777" w:rsidR="006A04A1" w:rsidRPr="006A04A1" w:rsidRDefault="006A04A1" w:rsidP="006A04A1">
      <w:pPr>
        <w:rPr>
          <w:rFonts w:ascii="Arial" w:hAnsi="Arial" w:cs="Arial"/>
          <w:lang w:val="en-US"/>
        </w:rPr>
      </w:pPr>
    </w:p>
    <w:sectPr w:rsidR="006A04A1" w:rsidRPr="006A04A1" w:rsidSect="00DD7E92">
      <w:headerReference w:type="even" r:id="rId13"/>
      <w:headerReference w:type="default" r:id="rId14"/>
      <w:footerReference w:type="even" r:id="rId15"/>
      <w:footerReference w:type="default" r:id="rId16"/>
      <w:headerReference w:type="first" r:id="rId17"/>
      <w:footerReference w:type="first" r:id="rId18"/>
      <w:pgSz w:w="11904" w:h="16836"/>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18483B" w14:textId="77777777" w:rsidR="00224CBD" w:rsidRDefault="00224CBD" w:rsidP="00164F25">
      <w:r>
        <w:separator/>
      </w:r>
    </w:p>
  </w:endnote>
  <w:endnote w:type="continuationSeparator" w:id="0">
    <w:p w14:paraId="437F15D3" w14:textId="77777777" w:rsidR="00224CBD" w:rsidRDefault="00224CBD" w:rsidP="00164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20A86" w14:textId="77777777" w:rsidR="00164F25" w:rsidRDefault="00164F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2A448" w14:textId="4220716A" w:rsidR="00164F25" w:rsidRDefault="004B3F72">
    <w:pPr>
      <w:pStyle w:val="Footer"/>
      <w:rPr>
        <w:rFonts w:ascii="Arial Narrow" w:hAnsi="Arial Narrow"/>
        <w:sz w:val="16"/>
        <w:szCs w:val="16"/>
        <w:lang w:val="en-US"/>
      </w:rPr>
    </w:pPr>
    <w:r w:rsidRPr="004B3F72">
      <w:rPr>
        <w:rFonts w:ascii="Arial Narrow" w:hAnsi="Arial Narrow"/>
        <w:sz w:val="16"/>
        <w:szCs w:val="16"/>
        <w:lang w:val="en-US"/>
      </w:rPr>
      <w:t>THIS MATERIAL IS FOR PROFED 5 USE ONLY. REPRODUCTION IS STRICTLY PROHIBITED.</w:t>
    </w:r>
  </w:p>
  <w:p w14:paraId="01FB02F7" w14:textId="1BF68FB7" w:rsidR="008211C5" w:rsidRPr="004B3F72" w:rsidRDefault="008211C5">
    <w:pPr>
      <w:pStyle w:val="Footer"/>
      <w:rPr>
        <w:rFonts w:ascii="Arial Narrow" w:hAnsi="Arial Narrow"/>
        <w:sz w:val="16"/>
        <w:szCs w:val="16"/>
        <w:lang w:val="en-US"/>
      </w:rPr>
    </w:pPr>
    <w:r>
      <w:rPr>
        <w:rFonts w:ascii="Arial Narrow" w:hAnsi="Arial Narrow"/>
        <w:sz w:val="16"/>
        <w:szCs w:val="16"/>
        <w:lang w:val="en-US"/>
      </w:rPr>
      <w:t>DIANNE VILLAR – FACULTY, PIE DEPARTMENT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FC283" w14:textId="77777777" w:rsidR="00164F25" w:rsidRDefault="00164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22514C" w14:textId="77777777" w:rsidR="00224CBD" w:rsidRDefault="00224CBD" w:rsidP="00164F25">
      <w:r>
        <w:separator/>
      </w:r>
    </w:p>
  </w:footnote>
  <w:footnote w:type="continuationSeparator" w:id="0">
    <w:p w14:paraId="73DB7968" w14:textId="77777777" w:rsidR="00224CBD" w:rsidRDefault="00224CBD" w:rsidP="00164F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099D3" w14:textId="77777777" w:rsidR="00164F25" w:rsidRDefault="00164F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8D829" w14:textId="77777777" w:rsidR="00164F25" w:rsidRDefault="00164F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ADABB" w14:textId="77777777" w:rsidR="00164F25" w:rsidRDefault="00164F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5319B"/>
    <w:multiLevelType w:val="hybridMultilevel"/>
    <w:tmpl w:val="8AC2C430"/>
    <w:lvl w:ilvl="0" w:tplc="73FAAD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CF34772"/>
    <w:multiLevelType w:val="hybridMultilevel"/>
    <w:tmpl w:val="5E50A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F0DE0"/>
    <w:multiLevelType w:val="hybridMultilevel"/>
    <w:tmpl w:val="73564B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94673E9"/>
    <w:multiLevelType w:val="hybridMultilevel"/>
    <w:tmpl w:val="C7CA43B6"/>
    <w:lvl w:ilvl="0" w:tplc="32FC69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1C61999"/>
    <w:multiLevelType w:val="hybridMultilevel"/>
    <w:tmpl w:val="CCE02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043E95"/>
    <w:multiLevelType w:val="hybridMultilevel"/>
    <w:tmpl w:val="6A024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B91DBE"/>
    <w:multiLevelType w:val="hybridMultilevel"/>
    <w:tmpl w:val="10141454"/>
    <w:lvl w:ilvl="0" w:tplc="7F7C605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173E63"/>
    <w:multiLevelType w:val="hybridMultilevel"/>
    <w:tmpl w:val="AB36BD30"/>
    <w:lvl w:ilvl="0" w:tplc="4B8A69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3F4AD4"/>
    <w:multiLevelType w:val="hybridMultilevel"/>
    <w:tmpl w:val="95289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6B71C9"/>
    <w:multiLevelType w:val="hybridMultilevel"/>
    <w:tmpl w:val="65DC2490"/>
    <w:lvl w:ilvl="0" w:tplc="C96A7E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3"/>
  </w:num>
  <w:num w:numId="3">
    <w:abstractNumId w:val="4"/>
  </w:num>
  <w:num w:numId="4">
    <w:abstractNumId w:val="9"/>
  </w:num>
  <w:num w:numId="5">
    <w:abstractNumId w:val="0"/>
  </w:num>
  <w:num w:numId="6">
    <w:abstractNumId w:val="2"/>
  </w:num>
  <w:num w:numId="7">
    <w:abstractNumId w:val="8"/>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E92"/>
    <w:rsid w:val="00037839"/>
    <w:rsid w:val="00143251"/>
    <w:rsid w:val="00164F25"/>
    <w:rsid w:val="001B0BDB"/>
    <w:rsid w:val="001D458D"/>
    <w:rsid w:val="00224CBD"/>
    <w:rsid w:val="002462D5"/>
    <w:rsid w:val="0033050B"/>
    <w:rsid w:val="00385D61"/>
    <w:rsid w:val="003B6DD2"/>
    <w:rsid w:val="00447926"/>
    <w:rsid w:val="0045289A"/>
    <w:rsid w:val="004B3F72"/>
    <w:rsid w:val="004E63E2"/>
    <w:rsid w:val="005D198E"/>
    <w:rsid w:val="00686901"/>
    <w:rsid w:val="006A04A1"/>
    <w:rsid w:val="007277CB"/>
    <w:rsid w:val="007C530B"/>
    <w:rsid w:val="00820A1D"/>
    <w:rsid w:val="008211C5"/>
    <w:rsid w:val="00885D58"/>
    <w:rsid w:val="008F2D6F"/>
    <w:rsid w:val="00947699"/>
    <w:rsid w:val="009A3F84"/>
    <w:rsid w:val="009E2121"/>
    <w:rsid w:val="00A719AE"/>
    <w:rsid w:val="00AE5654"/>
    <w:rsid w:val="00C764F7"/>
    <w:rsid w:val="00D75891"/>
    <w:rsid w:val="00D7687E"/>
    <w:rsid w:val="00DC722E"/>
    <w:rsid w:val="00DD66AC"/>
    <w:rsid w:val="00DD7E92"/>
    <w:rsid w:val="00E6561A"/>
    <w:rsid w:val="00EF404B"/>
    <w:rsid w:val="00F45C9D"/>
    <w:rsid w:val="00F46364"/>
    <w:rsid w:val="00F7497B"/>
    <w:rsid w:val="00FC661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A8328"/>
  <w15:chartTrackingRefBased/>
  <w15:docId w15:val="{CA6FE7CA-2FE3-DE49-B3C3-6FCCEF1C4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E92"/>
    <w:pPr>
      <w:ind w:left="720"/>
      <w:contextualSpacing/>
    </w:pPr>
  </w:style>
  <w:style w:type="table" w:styleId="TableGrid">
    <w:name w:val="Table Grid"/>
    <w:basedOn w:val="TableNormal"/>
    <w:uiPriority w:val="39"/>
    <w:rsid w:val="001B0B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4F25"/>
    <w:pPr>
      <w:tabs>
        <w:tab w:val="center" w:pos="4680"/>
        <w:tab w:val="right" w:pos="9360"/>
      </w:tabs>
    </w:pPr>
  </w:style>
  <w:style w:type="character" w:customStyle="1" w:styleId="HeaderChar">
    <w:name w:val="Header Char"/>
    <w:basedOn w:val="DefaultParagraphFont"/>
    <w:link w:val="Header"/>
    <w:uiPriority w:val="99"/>
    <w:rsid w:val="00164F25"/>
  </w:style>
  <w:style w:type="paragraph" w:styleId="Footer">
    <w:name w:val="footer"/>
    <w:basedOn w:val="Normal"/>
    <w:link w:val="FooterChar"/>
    <w:uiPriority w:val="99"/>
    <w:unhideWhenUsed/>
    <w:rsid w:val="00164F25"/>
    <w:pPr>
      <w:tabs>
        <w:tab w:val="center" w:pos="4680"/>
        <w:tab w:val="right" w:pos="9360"/>
      </w:tabs>
    </w:pPr>
  </w:style>
  <w:style w:type="character" w:customStyle="1" w:styleId="FooterChar">
    <w:name w:val="Footer Char"/>
    <w:basedOn w:val="DefaultParagraphFont"/>
    <w:link w:val="Footer"/>
    <w:uiPriority w:val="99"/>
    <w:rsid w:val="00164F25"/>
  </w:style>
  <w:style w:type="character" w:styleId="Hyperlink">
    <w:name w:val="Hyperlink"/>
    <w:basedOn w:val="DefaultParagraphFont"/>
    <w:uiPriority w:val="99"/>
    <w:unhideWhenUsed/>
    <w:rsid w:val="00F46364"/>
    <w:rPr>
      <w:color w:val="0563C1" w:themeColor="hyperlink"/>
      <w:u w:val="single"/>
    </w:rPr>
  </w:style>
  <w:style w:type="character" w:styleId="Strong">
    <w:name w:val="Strong"/>
    <w:basedOn w:val="DefaultParagraphFont"/>
    <w:uiPriority w:val="22"/>
    <w:qFormat/>
    <w:rsid w:val="00F46364"/>
    <w:rPr>
      <w:b/>
      <w:bCs/>
    </w:rPr>
  </w:style>
  <w:style w:type="character" w:styleId="Emphasis">
    <w:name w:val="Emphasis"/>
    <w:basedOn w:val="DefaultParagraphFont"/>
    <w:uiPriority w:val="20"/>
    <w:qFormat/>
    <w:rsid w:val="00F46364"/>
    <w:rPr>
      <w:i/>
      <w:iCs/>
    </w:rPr>
  </w:style>
  <w:style w:type="character" w:customStyle="1" w:styleId="oypena">
    <w:name w:val="oypena"/>
    <w:basedOn w:val="DefaultParagraphFont"/>
    <w:rsid w:val="00F46364"/>
  </w:style>
  <w:style w:type="paragraph" w:styleId="NormalWeb">
    <w:name w:val="Normal (Web)"/>
    <w:basedOn w:val="Normal"/>
    <w:uiPriority w:val="99"/>
    <w:unhideWhenUsed/>
    <w:rsid w:val="00F46364"/>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470184">
      <w:bodyDiv w:val="1"/>
      <w:marLeft w:val="0"/>
      <w:marRight w:val="0"/>
      <w:marTop w:val="0"/>
      <w:marBottom w:val="0"/>
      <w:divBdr>
        <w:top w:val="none" w:sz="0" w:space="0" w:color="auto"/>
        <w:left w:val="none" w:sz="0" w:space="0" w:color="auto"/>
        <w:bottom w:val="none" w:sz="0" w:space="0" w:color="auto"/>
        <w:right w:val="none" w:sz="0" w:space="0" w:color="auto"/>
      </w:divBdr>
    </w:div>
    <w:div w:id="150327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hanrobles.com/republicactno8545.htm#google_vignett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library.judiciary.gov.ph/thebookshelf/showdocs/2/6302"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lawphil.net/statutes/repacts/ra1989/ra_6728_1989.html"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431132889AA24F96554698DF4849DF" ma:contentTypeVersion="4" ma:contentTypeDescription="Create a new document." ma:contentTypeScope="" ma:versionID="db9a6e1270b0a5dfb08c17da969a8839">
  <xsd:schema xmlns:xsd="http://www.w3.org/2001/XMLSchema" xmlns:xs="http://www.w3.org/2001/XMLSchema" xmlns:p="http://schemas.microsoft.com/office/2006/metadata/properties" xmlns:ns2="b0e2d180-b979-4f8a-869c-fd1b7cad3607" targetNamespace="http://schemas.microsoft.com/office/2006/metadata/properties" ma:root="true" ma:fieldsID="b4c91666fe34d65582a283fbe0425c4e" ns2:_="">
    <xsd:import namespace="b0e2d180-b979-4f8a-869c-fd1b7cad360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e2d180-b979-4f8a-869c-fd1b7cad36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48397-75C0-4811-B2C5-BBF8DEB3571A}">
  <ds:schemaRefs>
    <ds:schemaRef ds:uri="http://schemas.microsoft.com/sharepoint/v3/contenttype/forms"/>
  </ds:schemaRefs>
</ds:datastoreItem>
</file>

<file path=customXml/itemProps2.xml><?xml version="1.0" encoding="utf-8"?>
<ds:datastoreItem xmlns:ds="http://schemas.openxmlformats.org/officeDocument/2006/customXml" ds:itemID="{F5D9EB18-E412-4681-BE49-AF10B7A192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e2d180-b979-4f8a-869c-fd1b7cad36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88CE83-7EAD-4C54-B465-42D96DD2A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DIANNE VILLAR</dc:creator>
  <cp:keywords/>
  <dc:description/>
  <cp:lastModifiedBy>Louis Tabalno</cp:lastModifiedBy>
  <cp:revision>3</cp:revision>
  <dcterms:created xsi:type="dcterms:W3CDTF">2024-11-30T14:32:00Z</dcterms:created>
  <dcterms:modified xsi:type="dcterms:W3CDTF">2024-12-01T14:17:00Z</dcterms:modified>
</cp:coreProperties>
</file>