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053BB" w14:textId="4184219D" w:rsidR="002462D5" w:rsidRDefault="00DD7E92" w:rsidP="00DD7E92">
      <w:pPr>
        <w:jc w:val="center"/>
        <w:rPr>
          <w:rFonts w:ascii="Arial" w:hAnsi="Arial" w:cs="Arial"/>
          <w:lang w:val="en-US"/>
        </w:rPr>
      </w:pPr>
      <w:r w:rsidRPr="00DD7E92">
        <w:rPr>
          <w:rFonts w:ascii="Arial" w:hAnsi="Arial" w:cs="Arial"/>
          <w:lang w:val="en-US"/>
        </w:rPr>
        <w:t>Lesson Plan in</w:t>
      </w:r>
      <w:r w:rsidR="00F7497B">
        <w:rPr>
          <w:rFonts w:ascii="Arial" w:hAnsi="Arial" w:cs="Arial"/>
          <w:lang w:val="en-US"/>
        </w:rPr>
        <w:t xml:space="preserve"> </w:t>
      </w:r>
      <w:r w:rsidR="00F45C9D">
        <w:rPr>
          <w:rFonts w:ascii="Arial" w:hAnsi="Arial" w:cs="Arial"/>
          <w:lang w:val="en-US"/>
        </w:rPr>
        <w:t>Teaching Profession</w:t>
      </w:r>
    </w:p>
    <w:p w14:paraId="75176CF1" w14:textId="77777777" w:rsidR="00DD7E92" w:rsidRDefault="00DD7E92" w:rsidP="00DD7E92">
      <w:pPr>
        <w:jc w:val="center"/>
        <w:rPr>
          <w:rFonts w:ascii="Arial" w:hAnsi="Arial" w:cs="Arial"/>
          <w:lang w:val="en-US"/>
        </w:rPr>
      </w:pPr>
    </w:p>
    <w:p w14:paraId="15B6C41F" w14:textId="77777777" w:rsidR="00DD7E92" w:rsidRDefault="00DD7E92" w:rsidP="00DD7E92">
      <w:pPr>
        <w:jc w:val="center"/>
        <w:rPr>
          <w:rFonts w:ascii="Arial" w:hAnsi="Arial" w:cs="Arial"/>
          <w:lang w:val="en-US"/>
        </w:rPr>
      </w:pPr>
    </w:p>
    <w:p w14:paraId="3A49E560" w14:textId="7DD5A2C4" w:rsidR="00DD7E92" w:rsidRDefault="00DD7E92" w:rsidP="00DD7E92">
      <w:pPr>
        <w:pStyle w:val="ListParagraph"/>
        <w:numPr>
          <w:ilvl w:val="0"/>
          <w:numId w:val="1"/>
        </w:numPr>
        <w:rPr>
          <w:rFonts w:ascii="Arial" w:hAnsi="Arial" w:cs="Arial"/>
          <w:lang w:val="en-US"/>
        </w:rPr>
      </w:pPr>
      <w:r>
        <w:rPr>
          <w:rFonts w:ascii="Arial" w:hAnsi="Arial" w:cs="Arial"/>
          <w:lang w:val="en-US"/>
        </w:rPr>
        <w:t>Objectives</w:t>
      </w:r>
    </w:p>
    <w:p w14:paraId="74CCAE8E" w14:textId="4040A754" w:rsidR="00DD7E92" w:rsidRPr="002B7A69" w:rsidRDefault="00EF404B" w:rsidP="00DD7E92">
      <w:pPr>
        <w:pStyle w:val="ListParagraph"/>
        <w:numPr>
          <w:ilvl w:val="0"/>
          <w:numId w:val="4"/>
        </w:numPr>
        <w:rPr>
          <w:rFonts w:ascii="Arial" w:hAnsi="Arial" w:cs="Arial"/>
          <w:lang w:val="en-US"/>
        </w:rPr>
      </w:pPr>
      <w:r>
        <w:rPr>
          <w:rFonts w:ascii="Arial" w:hAnsi="Arial" w:cs="Arial"/>
          <w:lang w:val="en-US"/>
        </w:rPr>
        <w:t xml:space="preserve">To </w:t>
      </w:r>
      <w:r w:rsidR="00516325">
        <w:rPr>
          <w:rFonts w:ascii="Arial" w:hAnsi="Arial" w:cs="Arial"/>
          <w:lang w:val="en-US"/>
        </w:rPr>
        <w:t xml:space="preserve">understand the purpose and </w:t>
      </w:r>
      <w:r w:rsidR="002B7A69">
        <w:rPr>
          <w:rFonts w:ascii="Arial" w:hAnsi="Arial" w:cs="Arial"/>
          <w:lang w:val="en-US"/>
        </w:rPr>
        <w:t>essential sections of</w:t>
      </w:r>
      <w:r w:rsidR="00516325">
        <w:rPr>
          <w:rFonts w:ascii="Arial" w:hAnsi="Arial" w:cs="Arial"/>
          <w:lang w:val="en-US"/>
        </w:rPr>
        <w:t xml:space="preserve"> </w:t>
      </w:r>
      <w:r w:rsidR="002B7A69" w:rsidRPr="002B7A69">
        <w:rPr>
          <w:rFonts w:ascii="Arial" w:hAnsi="Arial" w:cs="Arial"/>
        </w:rPr>
        <w:t>R.A 9710 – The Magna Carta of Women</w:t>
      </w:r>
    </w:p>
    <w:p w14:paraId="4A57BC4F" w14:textId="77777777" w:rsidR="00EF404B" w:rsidRDefault="00EF404B" w:rsidP="00EF404B">
      <w:pPr>
        <w:pStyle w:val="ListParagraph"/>
        <w:ind w:left="1080"/>
        <w:rPr>
          <w:rFonts w:ascii="Arial" w:hAnsi="Arial" w:cs="Arial"/>
          <w:lang w:val="en-US"/>
        </w:rPr>
      </w:pPr>
    </w:p>
    <w:p w14:paraId="36095113" w14:textId="1043A5C0" w:rsidR="00DD7E92" w:rsidRDefault="00C07A3D" w:rsidP="00DD7E92">
      <w:pPr>
        <w:pStyle w:val="ListParagraph"/>
        <w:numPr>
          <w:ilvl w:val="0"/>
          <w:numId w:val="4"/>
        </w:numPr>
        <w:rPr>
          <w:rFonts w:ascii="Arial" w:hAnsi="Arial" w:cs="Arial"/>
          <w:lang w:val="en-US"/>
        </w:rPr>
      </w:pPr>
      <w:r w:rsidRPr="00C07A3D">
        <w:rPr>
          <w:rFonts w:ascii="Arial" w:hAnsi="Arial" w:cs="Arial"/>
        </w:rPr>
        <w:t>Demonstrate the establishment of a women’s support group in compliance with</w:t>
      </w:r>
      <w:r w:rsidR="002B7A69" w:rsidRPr="002B7A69">
        <w:rPr>
          <w:b/>
        </w:rPr>
        <w:t xml:space="preserve"> </w:t>
      </w:r>
      <w:r w:rsidR="002B7A69" w:rsidRPr="002B7A69">
        <w:rPr>
          <w:rFonts w:ascii="Arial" w:hAnsi="Arial" w:cs="Arial"/>
        </w:rPr>
        <w:t>R.A 9710 – The Magna Carta of Women</w:t>
      </w:r>
      <w:r w:rsidR="00C764F7" w:rsidRPr="002B7A69">
        <w:rPr>
          <w:rFonts w:ascii="Arial" w:hAnsi="Arial" w:cs="Arial"/>
          <w:lang w:val="en-US"/>
        </w:rPr>
        <w:tab/>
      </w:r>
      <w:r w:rsidR="00C764F7">
        <w:rPr>
          <w:rFonts w:ascii="Arial" w:hAnsi="Arial" w:cs="Arial"/>
          <w:lang w:val="en-US"/>
        </w:rPr>
        <w:tab/>
      </w:r>
    </w:p>
    <w:p w14:paraId="055E1204" w14:textId="77777777" w:rsidR="00EF404B" w:rsidRDefault="00EF404B" w:rsidP="00EF404B">
      <w:pPr>
        <w:pStyle w:val="ListParagraph"/>
        <w:ind w:left="1080"/>
        <w:rPr>
          <w:rFonts w:ascii="Arial" w:hAnsi="Arial" w:cs="Arial"/>
          <w:lang w:val="en-US"/>
        </w:rPr>
      </w:pPr>
    </w:p>
    <w:p w14:paraId="78CBC809" w14:textId="7915249D" w:rsidR="00DD7E92" w:rsidRDefault="00C07A3D" w:rsidP="00DD7E92">
      <w:pPr>
        <w:pStyle w:val="ListParagraph"/>
        <w:numPr>
          <w:ilvl w:val="0"/>
          <w:numId w:val="4"/>
        </w:numPr>
        <w:rPr>
          <w:rFonts w:ascii="Arial" w:hAnsi="Arial" w:cs="Arial"/>
          <w:lang w:val="en-US"/>
        </w:rPr>
      </w:pPr>
      <w:r w:rsidRPr="00C07A3D">
        <w:rPr>
          <w:rFonts w:ascii="Arial" w:hAnsi="Arial" w:cs="Arial"/>
        </w:rPr>
        <w:t>Build a strong sense of solidarity and partnership in advocating for women’s rights</w:t>
      </w:r>
      <w:r w:rsidR="00947699" w:rsidRPr="00947699">
        <w:rPr>
          <w:rFonts w:ascii="Arial" w:hAnsi="Arial" w:cs="Arial"/>
        </w:rPr>
        <w:t>.</w:t>
      </w:r>
    </w:p>
    <w:p w14:paraId="6AAC1360" w14:textId="77777777" w:rsidR="00DD7E92" w:rsidRDefault="00DD7E92" w:rsidP="00DD7E92">
      <w:pPr>
        <w:rPr>
          <w:rFonts w:ascii="Arial" w:hAnsi="Arial" w:cs="Arial"/>
          <w:lang w:val="en-US"/>
        </w:rPr>
      </w:pPr>
    </w:p>
    <w:p w14:paraId="3A9DE97F" w14:textId="263F362F" w:rsidR="00DD7E92" w:rsidRDefault="00DD7E92" w:rsidP="00DD7E92">
      <w:pPr>
        <w:pStyle w:val="ListParagraph"/>
        <w:numPr>
          <w:ilvl w:val="0"/>
          <w:numId w:val="1"/>
        </w:numPr>
        <w:rPr>
          <w:rFonts w:ascii="Arial" w:hAnsi="Arial" w:cs="Arial"/>
          <w:lang w:val="en-US"/>
        </w:rPr>
      </w:pPr>
      <w:r>
        <w:rPr>
          <w:rFonts w:ascii="Arial" w:hAnsi="Arial" w:cs="Arial"/>
          <w:lang w:val="en-US"/>
        </w:rPr>
        <w:t>Subject Matter</w:t>
      </w:r>
    </w:p>
    <w:p w14:paraId="293C883D" w14:textId="77777777" w:rsidR="00947699" w:rsidRDefault="006A04A1" w:rsidP="00DD7E92">
      <w:pPr>
        <w:pStyle w:val="ListParagraph"/>
        <w:ind w:left="1080"/>
        <w:rPr>
          <w:rFonts w:ascii="Arial" w:hAnsi="Arial" w:cs="Arial"/>
          <w:lang w:val="en-US"/>
        </w:rPr>
      </w:pPr>
      <w:r>
        <w:rPr>
          <w:rFonts w:ascii="Arial" w:hAnsi="Arial" w:cs="Arial"/>
          <w:lang w:val="en-US"/>
        </w:rPr>
        <w:t>Unit</w:t>
      </w:r>
      <w:r w:rsidR="00DD7E92">
        <w:rPr>
          <w:rFonts w:ascii="Arial" w:hAnsi="Arial" w:cs="Arial"/>
          <w:lang w:val="en-US"/>
        </w:rPr>
        <w:t xml:space="preserve"> Title:</w:t>
      </w:r>
      <w:r w:rsidR="00EF404B">
        <w:rPr>
          <w:rFonts w:ascii="Arial" w:hAnsi="Arial" w:cs="Arial"/>
          <w:lang w:val="en-US"/>
        </w:rPr>
        <w:t xml:space="preserve"> Unit 6 Other Laws Relevant to the Teaching Profession</w:t>
      </w:r>
    </w:p>
    <w:p w14:paraId="5CCA95D7" w14:textId="00B134A0" w:rsidR="00DD7E92" w:rsidRDefault="00EF404B" w:rsidP="00DD7E92">
      <w:pPr>
        <w:pStyle w:val="ListParagraph"/>
        <w:ind w:left="1080"/>
        <w:rPr>
          <w:rFonts w:ascii="Arial" w:hAnsi="Arial" w:cs="Arial"/>
          <w:lang w:val="en-US"/>
        </w:rPr>
      </w:pPr>
      <w:r>
        <w:rPr>
          <w:rFonts w:ascii="Arial" w:hAnsi="Arial" w:cs="Arial"/>
          <w:lang w:val="en-US"/>
        </w:rPr>
        <w:t xml:space="preserve"> </w:t>
      </w:r>
    </w:p>
    <w:p w14:paraId="6173574A" w14:textId="3E12086E" w:rsidR="00DD7E92" w:rsidRDefault="00DD7E92" w:rsidP="00DD7E92">
      <w:pPr>
        <w:pStyle w:val="ListParagraph"/>
        <w:ind w:left="1080"/>
        <w:rPr>
          <w:rFonts w:ascii="Arial" w:hAnsi="Arial" w:cs="Arial"/>
          <w:lang w:val="en-US"/>
        </w:rPr>
      </w:pPr>
      <w:r>
        <w:rPr>
          <w:rFonts w:ascii="Arial" w:hAnsi="Arial" w:cs="Arial"/>
          <w:lang w:val="en-US"/>
        </w:rPr>
        <w:t>Topic:</w:t>
      </w:r>
      <w:r w:rsidR="00EF404B">
        <w:rPr>
          <w:rFonts w:ascii="Arial" w:hAnsi="Arial" w:cs="Arial"/>
          <w:lang w:val="en-US"/>
        </w:rPr>
        <w:t xml:space="preserve"> </w:t>
      </w:r>
      <w:r w:rsidR="00516325">
        <w:rPr>
          <w:rFonts w:ascii="Arial" w:hAnsi="Arial" w:cs="Arial"/>
          <w:lang w:val="en-US"/>
        </w:rPr>
        <w:t>R.A. 9710 – The Magna Carta of Women</w:t>
      </w:r>
    </w:p>
    <w:p w14:paraId="3965E7F5" w14:textId="77777777" w:rsidR="00947699" w:rsidRDefault="00947699" w:rsidP="00DD7E92">
      <w:pPr>
        <w:pStyle w:val="ListParagraph"/>
        <w:ind w:left="1080"/>
        <w:rPr>
          <w:rFonts w:ascii="Arial" w:hAnsi="Arial" w:cs="Arial"/>
          <w:lang w:val="en-US"/>
        </w:rPr>
      </w:pPr>
    </w:p>
    <w:p w14:paraId="3B3DFAFE" w14:textId="1125B6F0" w:rsidR="003B6DD2" w:rsidRDefault="002B7A69" w:rsidP="002B7A69">
      <w:pPr>
        <w:pStyle w:val="ListParagraph"/>
        <w:ind w:left="1080"/>
        <w:rPr>
          <w:rFonts w:ascii="Arial" w:hAnsi="Arial" w:cs="Arial"/>
        </w:rPr>
      </w:pPr>
      <w:r>
        <w:rPr>
          <w:rFonts w:ascii="Arial" w:hAnsi="Arial" w:cs="Arial"/>
          <w:lang w:val="en-US"/>
        </w:rPr>
        <w:t>References</w:t>
      </w:r>
      <w:r>
        <w:rPr>
          <w:rFonts w:ascii="Arial" w:hAnsi="Arial" w:cs="Arial"/>
        </w:rPr>
        <w:t xml:space="preserve">: </w:t>
      </w:r>
    </w:p>
    <w:p w14:paraId="6EE7E19D" w14:textId="4C4C2BF2" w:rsidR="002B7A69" w:rsidRDefault="002B7A69" w:rsidP="002B7A69">
      <w:pPr>
        <w:pStyle w:val="ListParagraph"/>
        <w:numPr>
          <w:ilvl w:val="0"/>
          <w:numId w:val="6"/>
        </w:numPr>
        <w:rPr>
          <w:rFonts w:ascii="Arial" w:hAnsi="Arial" w:cs="Arial"/>
        </w:rPr>
      </w:pPr>
      <w:r w:rsidRPr="002B7A69">
        <w:rPr>
          <w:rFonts w:ascii="Arial" w:hAnsi="Arial" w:cs="Arial"/>
        </w:rPr>
        <w:t>Philippine Commission on Women. (</w:t>
      </w:r>
      <w:proofErr w:type="spellStart"/>
      <w:r w:rsidRPr="002B7A69">
        <w:rPr>
          <w:rFonts w:ascii="Arial" w:hAnsi="Arial" w:cs="Arial"/>
        </w:rPr>
        <w:t>n.d.</w:t>
      </w:r>
      <w:proofErr w:type="spellEnd"/>
      <w:r w:rsidRPr="002B7A69">
        <w:rPr>
          <w:rFonts w:ascii="Arial" w:hAnsi="Arial" w:cs="Arial"/>
        </w:rPr>
        <w:t xml:space="preserve">). </w:t>
      </w:r>
      <w:r w:rsidRPr="002B7A69">
        <w:rPr>
          <w:rStyle w:val="Emphasis"/>
          <w:rFonts w:ascii="Arial" w:hAnsi="Arial" w:cs="Arial"/>
        </w:rPr>
        <w:t>Republic Act No. 9710: Magna Carta of Women</w:t>
      </w:r>
      <w:r w:rsidRPr="002B7A69">
        <w:rPr>
          <w:rFonts w:ascii="Arial" w:hAnsi="Arial" w:cs="Arial"/>
        </w:rPr>
        <w:t>.</w:t>
      </w:r>
    </w:p>
    <w:p w14:paraId="1C3DE08F" w14:textId="49CC941D" w:rsidR="002B7A69" w:rsidRDefault="002B7A69" w:rsidP="002B7A69">
      <w:pPr>
        <w:pStyle w:val="ListParagraph"/>
        <w:ind w:left="1800"/>
        <w:rPr>
          <w:rFonts w:ascii="Arial" w:hAnsi="Arial" w:cs="Arial"/>
        </w:rPr>
      </w:pPr>
      <w:hyperlink r:id="rId10" w:history="1">
        <w:r w:rsidRPr="005F215D">
          <w:rPr>
            <w:rStyle w:val="Hyperlink"/>
            <w:rFonts w:ascii="Arial" w:hAnsi="Arial" w:cs="Arial"/>
          </w:rPr>
          <w:t>https://pcw.gov.ph/magna-carta-of-women/</w:t>
        </w:r>
      </w:hyperlink>
    </w:p>
    <w:p w14:paraId="485AE91D" w14:textId="11688409" w:rsidR="002B7A69" w:rsidRDefault="002B7A69" w:rsidP="002B7A69">
      <w:pPr>
        <w:pStyle w:val="ListParagraph"/>
        <w:numPr>
          <w:ilvl w:val="0"/>
          <w:numId w:val="6"/>
        </w:numPr>
        <w:rPr>
          <w:rFonts w:ascii="Arial" w:hAnsi="Arial" w:cs="Arial"/>
        </w:rPr>
      </w:pPr>
      <w:r w:rsidRPr="002B7A69">
        <w:rPr>
          <w:rFonts w:ascii="Arial" w:hAnsi="Arial" w:cs="Arial"/>
        </w:rPr>
        <w:t>University of the Philippines Center for Women's Studies. (</w:t>
      </w:r>
      <w:proofErr w:type="spellStart"/>
      <w:r w:rsidRPr="002B7A69">
        <w:rPr>
          <w:rFonts w:ascii="Arial" w:hAnsi="Arial" w:cs="Arial"/>
        </w:rPr>
        <w:t>n.d.</w:t>
      </w:r>
      <w:proofErr w:type="spellEnd"/>
      <w:r w:rsidRPr="002B7A69">
        <w:rPr>
          <w:rFonts w:ascii="Arial" w:hAnsi="Arial" w:cs="Arial"/>
        </w:rPr>
        <w:t xml:space="preserve">). </w:t>
      </w:r>
      <w:r w:rsidRPr="002B7A69">
        <w:rPr>
          <w:rStyle w:val="Emphasis"/>
          <w:rFonts w:ascii="Arial" w:hAnsi="Arial" w:cs="Arial"/>
        </w:rPr>
        <w:t>Republic Act No. 9710: Magna Carta of Women</w:t>
      </w:r>
      <w:r w:rsidRPr="002B7A69">
        <w:rPr>
          <w:rFonts w:ascii="Arial" w:hAnsi="Arial" w:cs="Arial"/>
        </w:rPr>
        <w:t>.</w:t>
      </w:r>
    </w:p>
    <w:p w14:paraId="719E09E2" w14:textId="679FE93A" w:rsidR="002B7A69" w:rsidRDefault="002B7A69" w:rsidP="002B7A69">
      <w:pPr>
        <w:pStyle w:val="ListParagraph"/>
        <w:ind w:left="1800"/>
        <w:rPr>
          <w:rFonts w:ascii="Arial" w:hAnsi="Arial" w:cs="Arial"/>
        </w:rPr>
      </w:pPr>
      <w:hyperlink r:id="rId11" w:history="1">
        <w:r w:rsidRPr="005F215D">
          <w:rPr>
            <w:rStyle w:val="Hyperlink"/>
            <w:rFonts w:ascii="Arial" w:hAnsi="Arial" w:cs="Arial"/>
          </w:rPr>
          <w:t>https://cws.up.edu.ph/wp-content/uploads/RA-9710-Magna-Carta-of-Women.pdf</w:t>
        </w:r>
      </w:hyperlink>
    </w:p>
    <w:p w14:paraId="16BCCC6B" w14:textId="15304E8C" w:rsidR="002B7A69" w:rsidRDefault="002B7A69" w:rsidP="002B7A69">
      <w:pPr>
        <w:pStyle w:val="ListParagraph"/>
        <w:numPr>
          <w:ilvl w:val="0"/>
          <w:numId w:val="6"/>
        </w:numPr>
        <w:rPr>
          <w:rFonts w:ascii="Arial" w:hAnsi="Arial" w:cs="Arial"/>
        </w:rPr>
      </w:pPr>
      <w:r w:rsidRPr="002B7A69">
        <w:rPr>
          <w:rFonts w:ascii="Arial" w:hAnsi="Arial" w:cs="Arial"/>
        </w:rPr>
        <w:t xml:space="preserve">Official Gazette of the Republic of the Philippines. (2009, August 14). </w:t>
      </w:r>
      <w:r w:rsidRPr="002B7A69">
        <w:rPr>
          <w:rStyle w:val="Emphasis"/>
          <w:rFonts w:ascii="Arial" w:hAnsi="Arial" w:cs="Arial"/>
        </w:rPr>
        <w:t>Republic Act No. 9710: Magna Carta of Women</w:t>
      </w:r>
      <w:r w:rsidRPr="002B7A69">
        <w:rPr>
          <w:rFonts w:ascii="Arial" w:hAnsi="Arial" w:cs="Arial"/>
        </w:rPr>
        <w:t>.</w:t>
      </w:r>
    </w:p>
    <w:p w14:paraId="79421232" w14:textId="65DD9511" w:rsidR="002B7A69" w:rsidRDefault="002B7A69" w:rsidP="002B7A69">
      <w:pPr>
        <w:pStyle w:val="ListParagraph"/>
        <w:ind w:left="1800"/>
        <w:rPr>
          <w:rFonts w:ascii="Arial" w:hAnsi="Arial" w:cs="Arial"/>
        </w:rPr>
      </w:pPr>
      <w:hyperlink r:id="rId12" w:history="1">
        <w:r w:rsidRPr="005F215D">
          <w:rPr>
            <w:rStyle w:val="Hyperlink"/>
            <w:rFonts w:ascii="Arial" w:hAnsi="Arial" w:cs="Arial"/>
          </w:rPr>
          <w:t>https://www.officialgazette.gov.ph/2009/08/14/republic-act-no-9710/</w:t>
        </w:r>
      </w:hyperlink>
    </w:p>
    <w:p w14:paraId="26963469" w14:textId="3FBD2D26" w:rsidR="002B7A69" w:rsidRDefault="002B7A69" w:rsidP="002B7A69">
      <w:pPr>
        <w:pStyle w:val="ListParagraph"/>
        <w:numPr>
          <w:ilvl w:val="0"/>
          <w:numId w:val="6"/>
        </w:numPr>
        <w:rPr>
          <w:rFonts w:ascii="Arial" w:hAnsi="Arial" w:cs="Arial"/>
        </w:rPr>
      </w:pPr>
      <w:r w:rsidRPr="002B7A69">
        <w:rPr>
          <w:rFonts w:ascii="Arial" w:hAnsi="Arial" w:cs="Arial"/>
        </w:rPr>
        <w:t>Philippine Commission on Higher Education. (</w:t>
      </w:r>
      <w:proofErr w:type="spellStart"/>
      <w:r w:rsidRPr="002B7A69">
        <w:rPr>
          <w:rFonts w:ascii="Arial" w:hAnsi="Arial" w:cs="Arial"/>
        </w:rPr>
        <w:t>n.d.</w:t>
      </w:r>
      <w:proofErr w:type="spellEnd"/>
      <w:r w:rsidRPr="002B7A69">
        <w:rPr>
          <w:rFonts w:ascii="Arial" w:hAnsi="Arial" w:cs="Arial"/>
        </w:rPr>
        <w:t xml:space="preserve">). </w:t>
      </w:r>
      <w:r w:rsidRPr="002B7A69">
        <w:rPr>
          <w:rStyle w:val="Emphasis"/>
          <w:rFonts w:ascii="Arial" w:hAnsi="Arial" w:cs="Arial"/>
        </w:rPr>
        <w:t>Magna Carta of Women brochure</w:t>
      </w:r>
      <w:r w:rsidRPr="002B7A69">
        <w:rPr>
          <w:rFonts w:ascii="Arial" w:hAnsi="Arial" w:cs="Arial"/>
        </w:rPr>
        <w:t>.</w:t>
      </w:r>
    </w:p>
    <w:p w14:paraId="4CCB90C8" w14:textId="7BB311EE" w:rsidR="002B7A69" w:rsidRPr="002B7A69" w:rsidRDefault="002B7A69" w:rsidP="002B7A69">
      <w:pPr>
        <w:pStyle w:val="ListParagraph"/>
        <w:ind w:left="1800"/>
        <w:rPr>
          <w:rFonts w:ascii="Arial" w:hAnsi="Arial" w:cs="Arial"/>
        </w:rPr>
      </w:pPr>
      <w:hyperlink r:id="rId13" w:history="1">
        <w:r w:rsidRPr="005F215D">
          <w:rPr>
            <w:rStyle w:val="Hyperlink"/>
            <w:rFonts w:ascii="Arial" w:hAnsi="Arial" w:cs="Arial"/>
          </w:rPr>
          <w:t>https://pcieerd.dost.gov.ph/images/gad_corner/MCW-Brochure-inner-page-English.pdf</w:t>
        </w:r>
      </w:hyperlink>
    </w:p>
    <w:p w14:paraId="61ABA549" w14:textId="77777777" w:rsidR="00DD7E92" w:rsidRPr="003B6DD2" w:rsidRDefault="00DD7E92" w:rsidP="003B6DD2">
      <w:pPr>
        <w:rPr>
          <w:rFonts w:ascii="Arial" w:hAnsi="Arial" w:cs="Arial"/>
          <w:lang w:val="en-US"/>
        </w:rPr>
      </w:pPr>
    </w:p>
    <w:p w14:paraId="53B0262A" w14:textId="43D712F1" w:rsidR="00DD7E92" w:rsidRPr="009A3F84" w:rsidRDefault="00DD7E92" w:rsidP="009A3F84">
      <w:pPr>
        <w:pStyle w:val="ListParagraph"/>
        <w:numPr>
          <w:ilvl w:val="0"/>
          <w:numId w:val="1"/>
        </w:numPr>
        <w:rPr>
          <w:rFonts w:ascii="Arial" w:hAnsi="Arial" w:cs="Arial"/>
          <w:lang w:val="en-US"/>
        </w:rPr>
      </w:pPr>
      <w:r>
        <w:rPr>
          <w:rFonts w:ascii="Arial" w:hAnsi="Arial" w:cs="Arial"/>
          <w:lang w:val="en-US"/>
        </w:rPr>
        <w:t>Discussion Proper</w:t>
      </w:r>
    </w:p>
    <w:p w14:paraId="66D8C932" w14:textId="74C11FC3" w:rsidR="00DD7E92" w:rsidRDefault="00DD7E92" w:rsidP="00DD7E92">
      <w:pPr>
        <w:pStyle w:val="ListParagraph"/>
        <w:numPr>
          <w:ilvl w:val="0"/>
          <w:numId w:val="5"/>
        </w:numPr>
        <w:rPr>
          <w:rFonts w:ascii="Arial" w:hAnsi="Arial" w:cs="Arial"/>
          <w:lang w:val="en-US"/>
        </w:rPr>
      </w:pPr>
      <w:r>
        <w:rPr>
          <w:rFonts w:ascii="Arial" w:hAnsi="Arial" w:cs="Arial"/>
          <w:lang w:val="en-US"/>
        </w:rPr>
        <w:t>Motivation</w:t>
      </w:r>
      <w:r w:rsidR="00164F25">
        <w:rPr>
          <w:rFonts w:ascii="Arial" w:hAnsi="Arial" w:cs="Arial"/>
          <w:lang w:val="en-US"/>
        </w:rPr>
        <w:t>/Unlocking Difficulties</w:t>
      </w:r>
    </w:p>
    <w:p w14:paraId="27BF3995" w14:textId="487650CC" w:rsidR="008F2D6F" w:rsidRDefault="008F2D6F" w:rsidP="00DD7E92">
      <w:pPr>
        <w:pStyle w:val="ListParagraph"/>
        <w:numPr>
          <w:ilvl w:val="0"/>
          <w:numId w:val="5"/>
        </w:numPr>
        <w:rPr>
          <w:rFonts w:ascii="Arial" w:hAnsi="Arial" w:cs="Arial"/>
          <w:lang w:val="en-US"/>
        </w:rPr>
      </w:pPr>
      <w:r>
        <w:rPr>
          <w:rFonts w:ascii="Arial" w:hAnsi="Arial" w:cs="Arial"/>
          <w:lang w:val="en-US"/>
        </w:rPr>
        <w:t>Discussion</w:t>
      </w:r>
    </w:p>
    <w:p w14:paraId="595B0C3A" w14:textId="08D7E2F3" w:rsidR="002B7A69" w:rsidRDefault="002B7A69" w:rsidP="002B7A69">
      <w:pPr>
        <w:rPr>
          <w:rFonts w:ascii="Arial" w:hAnsi="Arial" w:cs="Arial"/>
        </w:rPr>
      </w:pPr>
      <w:r w:rsidRPr="002B7A69">
        <w:rPr>
          <w:rFonts w:ascii="Arial" w:hAnsi="Arial" w:cs="Arial"/>
          <w:b/>
        </w:rPr>
        <w:t xml:space="preserve">- </w:t>
      </w:r>
      <w:r w:rsidRPr="002B7A69">
        <w:rPr>
          <w:rFonts w:ascii="Arial" w:hAnsi="Arial" w:cs="Arial"/>
        </w:rPr>
        <w:t xml:space="preserve">The </w:t>
      </w:r>
      <w:r w:rsidRPr="002B7A69">
        <w:rPr>
          <w:rStyle w:val="Strong"/>
          <w:rFonts w:ascii="Arial" w:hAnsi="Arial" w:cs="Arial"/>
          <w:b w:val="0"/>
        </w:rPr>
        <w:t>Magna Carta of Women</w:t>
      </w:r>
      <w:r w:rsidRPr="002B7A69">
        <w:rPr>
          <w:rFonts w:ascii="Arial" w:hAnsi="Arial" w:cs="Arial"/>
        </w:rPr>
        <w:t xml:space="preserve"> (Republic Act No. 9710) is an important law in the Philippines that was passed in 2009 to protect and promote the rights of women. Its main goal is to stop discrimination against women and make sure they have the same opportunities as men in areas like education, healthcare, work, and participating in society. As an education student, it’s important to understand how this law affects women’s lives, especially in school, and how it helps women have the chance to succeed in all parts of life. This report will explain the main ideas of </w:t>
      </w:r>
      <w:r w:rsidRPr="002B7A69">
        <w:rPr>
          <w:rStyle w:val="Strong"/>
          <w:rFonts w:ascii="Arial" w:hAnsi="Arial" w:cs="Arial"/>
        </w:rPr>
        <w:t>R.A. 9710</w:t>
      </w:r>
      <w:r w:rsidRPr="002B7A69">
        <w:rPr>
          <w:rFonts w:ascii="Arial" w:hAnsi="Arial" w:cs="Arial"/>
        </w:rPr>
        <w:t xml:space="preserve"> and how it helps create a more equal society for men and women.</w:t>
      </w:r>
    </w:p>
    <w:p w14:paraId="5D2A47A3" w14:textId="77777777" w:rsidR="002B7A69" w:rsidRPr="002B7A69" w:rsidRDefault="002B7A69" w:rsidP="002B7A69">
      <w:pPr>
        <w:rPr>
          <w:rFonts w:ascii="Arial" w:hAnsi="Arial" w:cs="Arial"/>
          <w:b/>
        </w:rPr>
      </w:pPr>
    </w:p>
    <w:p w14:paraId="14F0F42D" w14:textId="77777777" w:rsidR="002B7A69" w:rsidRPr="002B7A69" w:rsidRDefault="002B7A69" w:rsidP="002B7A69">
      <w:pPr>
        <w:rPr>
          <w:rFonts w:ascii="Arial" w:hAnsi="Arial" w:cs="Arial"/>
          <w:b/>
        </w:rPr>
      </w:pPr>
      <w:r w:rsidRPr="002B7A69">
        <w:rPr>
          <w:rFonts w:ascii="Arial" w:hAnsi="Arial" w:cs="Arial"/>
          <w:b/>
        </w:rPr>
        <w:t>ESSENTIAL SECTIONS</w:t>
      </w:r>
    </w:p>
    <w:p w14:paraId="7AD4136C" w14:textId="77777777" w:rsidR="002B7A69" w:rsidRPr="002B7A69" w:rsidRDefault="002B7A69" w:rsidP="002B7A69">
      <w:pPr>
        <w:pStyle w:val="ListParagraph"/>
        <w:numPr>
          <w:ilvl w:val="0"/>
          <w:numId w:val="8"/>
        </w:numPr>
        <w:spacing w:after="160" w:line="259" w:lineRule="auto"/>
        <w:rPr>
          <w:rFonts w:ascii="Arial" w:hAnsi="Arial" w:cs="Arial"/>
          <w:b/>
        </w:rPr>
      </w:pPr>
      <w:r w:rsidRPr="002B7A69">
        <w:rPr>
          <w:rFonts w:ascii="Arial" w:hAnsi="Arial" w:cs="Arial"/>
        </w:rPr>
        <w:t xml:space="preserve">R.A. 9710 guarantees that women and girls have the right to </w:t>
      </w:r>
      <w:r w:rsidRPr="002B7A69">
        <w:rPr>
          <w:rStyle w:val="Strong"/>
          <w:rFonts w:ascii="Arial" w:hAnsi="Arial" w:cs="Arial"/>
          <w:b w:val="0"/>
        </w:rPr>
        <w:t>equal access to</w:t>
      </w:r>
      <w:r w:rsidRPr="002B7A69">
        <w:rPr>
          <w:rStyle w:val="Strong"/>
          <w:rFonts w:ascii="Arial" w:hAnsi="Arial" w:cs="Arial"/>
        </w:rPr>
        <w:t xml:space="preserve"> </w:t>
      </w:r>
      <w:r w:rsidRPr="002B7A69">
        <w:rPr>
          <w:rStyle w:val="Strong"/>
          <w:rFonts w:ascii="Arial" w:hAnsi="Arial" w:cs="Arial"/>
          <w:b w:val="0"/>
        </w:rPr>
        <w:t>education</w:t>
      </w:r>
      <w:r w:rsidRPr="002B7A69">
        <w:rPr>
          <w:rFonts w:ascii="Arial" w:hAnsi="Arial" w:cs="Arial"/>
        </w:rPr>
        <w:t xml:space="preserve"> at all levels primary, secondary, and tertiary. This means that </w:t>
      </w:r>
      <w:r w:rsidRPr="002B7A69">
        <w:rPr>
          <w:rStyle w:val="Strong"/>
          <w:rFonts w:ascii="Arial" w:hAnsi="Arial" w:cs="Arial"/>
          <w:b w:val="0"/>
        </w:rPr>
        <w:t>gender bias</w:t>
      </w:r>
      <w:r w:rsidRPr="002B7A69">
        <w:rPr>
          <w:rFonts w:ascii="Arial" w:hAnsi="Arial" w:cs="Arial"/>
        </w:rPr>
        <w:t xml:space="preserve"> in educational institutions should be eliminated, and educational </w:t>
      </w:r>
      <w:r w:rsidRPr="002B7A69">
        <w:rPr>
          <w:rFonts w:ascii="Arial" w:hAnsi="Arial" w:cs="Arial"/>
        </w:rPr>
        <w:lastRenderedPageBreak/>
        <w:t>opportunities should be available to all women, regardless of their background or socioeconomic status.</w:t>
      </w:r>
    </w:p>
    <w:p w14:paraId="34FA1577" w14:textId="77777777" w:rsidR="002B7A69" w:rsidRPr="002B7A69" w:rsidRDefault="002B7A69" w:rsidP="002B7A69">
      <w:pPr>
        <w:pStyle w:val="ListParagraph"/>
        <w:numPr>
          <w:ilvl w:val="0"/>
          <w:numId w:val="8"/>
        </w:numPr>
        <w:spacing w:after="160" w:line="259" w:lineRule="auto"/>
        <w:rPr>
          <w:rFonts w:ascii="Arial" w:hAnsi="Arial" w:cs="Arial"/>
          <w:b/>
        </w:rPr>
      </w:pPr>
      <w:r w:rsidRPr="002B7A69">
        <w:rPr>
          <w:rFonts w:ascii="Arial" w:hAnsi="Arial" w:cs="Arial"/>
        </w:rPr>
        <w:t xml:space="preserve">The law promotes </w:t>
      </w:r>
      <w:r w:rsidRPr="002B7A69">
        <w:rPr>
          <w:rStyle w:val="Strong"/>
          <w:rFonts w:ascii="Arial" w:hAnsi="Arial" w:cs="Arial"/>
          <w:b w:val="0"/>
        </w:rPr>
        <w:t>equal opportunities in the workforce</w:t>
      </w:r>
      <w:r w:rsidRPr="002B7A69">
        <w:rPr>
          <w:rFonts w:ascii="Arial" w:hAnsi="Arial" w:cs="Arial"/>
          <w:b/>
        </w:rPr>
        <w:t>,</w:t>
      </w:r>
      <w:r w:rsidRPr="002B7A69">
        <w:rPr>
          <w:rFonts w:ascii="Arial" w:hAnsi="Arial" w:cs="Arial"/>
        </w:rPr>
        <w:t xml:space="preserve"> ensuring that women have access to the same job opportunities and benefits as men. It also mandates that women’s rights in the workplace, such as fair wages, career advancement, and maternity benefits, are protected.</w:t>
      </w:r>
    </w:p>
    <w:p w14:paraId="79163A30" w14:textId="77777777" w:rsidR="002B7A69" w:rsidRPr="002B7A69" w:rsidRDefault="002B7A69" w:rsidP="002B7A69">
      <w:pPr>
        <w:pStyle w:val="ListParagraph"/>
        <w:numPr>
          <w:ilvl w:val="0"/>
          <w:numId w:val="8"/>
        </w:numPr>
        <w:spacing w:after="160" w:line="259" w:lineRule="auto"/>
        <w:rPr>
          <w:rFonts w:ascii="Arial" w:hAnsi="Arial" w:cs="Arial"/>
          <w:b/>
        </w:rPr>
      </w:pPr>
      <w:r w:rsidRPr="002B7A69">
        <w:rPr>
          <w:rFonts w:ascii="Arial" w:hAnsi="Arial" w:cs="Arial"/>
        </w:rPr>
        <w:t xml:space="preserve">The Magna Carta promotes the </w:t>
      </w:r>
      <w:r w:rsidRPr="002B7A69">
        <w:rPr>
          <w:rStyle w:val="Strong"/>
          <w:rFonts w:ascii="Arial" w:hAnsi="Arial" w:cs="Arial"/>
          <w:b w:val="0"/>
        </w:rPr>
        <w:t>political empowerment</w:t>
      </w:r>
      <w:r w:rsidRPr="002B7A69">
        <w:rPr>
          <w:rFonts w:ascii="Arial" w:hAnsi="Arial" w:cs="Arial"/>
        </w:rPr>
        <w:t xml:space="preserve"> of women by ensuring that they have equal representation in political decision-making bodies. This includes increasing women’s participation in legislative, executive, and judicial roles, as well as in national and local government leadership positions.</w:t>
      </w:r>
    </w:p>
    <w:p w14:paraId="64C339F9" w14:textId="77777777" w:rsidR="002B7A69" w:rsidRPr="002B7A69" w:rsidRDefault="002B7A69" w:rsidP="002B7A69">
      <w:pPr>
        <w:pStyle w:val="ListParagraph"/>
        <w:numPr>
          <w:ilvl w:val="0"/>
          <w:numId w:val="8"/>
        </w:numPr>
        <w:spacing w:after="160" w:line="259" w:lineRule="auto"/>
        <w:rPr>
          <w:rFonts w:ascii="Arial" w:hAnsi="Arial" w:cs="Arial"/>
          <w:b/>
        </w:rPr>
      </w:pPr>
      <w:r w:rsidRPr="002B7A69">
        <w:rPr>
          <w:rFonts w:ascii="Arial" w:hAnsi="Arial" w:cs="Arial"/>
        </w:rPr>
        <w:t xml:space="preserve">The Magna Carta promotes the </w:t>
      </w:r>
      <w:r w:rsidRPr="002B7A69">
        <w:rPr>
          <w:rStyle w:val="Strong"/>
          <w:rFonts w:ascii="Arial" w:hAnsi="Arial" w:cs="Arial"/>
          <w:b w:val="0"/>
        </w:rPr>
        <w:t>political empowerment</w:t>
      </w:r>
      <w:r w:rsidRPr="002B7A69">
        <w:rPr>
          <w:rFonts w:ascii="Arial" w:hAnsi="Arial" w:cs="Arial"/>
        </w:rPr>
        <w:t xml:space="preserve"> of women by ensuring that they have equal representation in political decision-making bodies. This includes increasing women’s participation in legislative, executive, and judicial roles, as well as in national and local government leadership positions. Also the law, ensures that women have access to comprehensive </w:t>
      </w:r>
      <w:r w:rsidRPr="002B7A69">
        <w:rPr>
          <w:rStyle w:val="Strong"/>
          <w:rFonts w:ascii="Arial" w:hAnsi="Arial" w:cs="Arial"/>
          <w:b w:val="0"/>
        </w:rPr>
        <w:t>reproductive health services</w:t>
      </w:r>
      <w:r w:rsidRPr="002B7A69">
        <w:rPr>
          <w:rFonts w:ascii="Arial" w:hAnsi="Arial" w:cs="Arial"/>
        </w:rPr>
        <w:t xml:space="preserve"> and information. This includes services related to family planning, maternal health care, and the prevention of gender-based violence, ensuring that women can make informed choices about their bodies and reproductive health.</w:t>
      </w:r>
    </w:p>
    <w:p w14:paraId="3093ED16" w14:textId="77777777" w:rsidR="002B7A69" w:rsidRPr="002B7A69" w:rsidRDefault="002B7A69" w:rsidP="002B7A69">
      <w:pPr>
        <w:rPr>
          <w:rFonts w:ascii="Arial" w:hAnsi="Arial" w:cs="Arial"/>
        </w:rPr>
      </w:pPr>
      <w:r w:rsidRPr="002B7A69">
        <w:rPr>
          <w:rFonts w:ascii="Arial" w:hAnsi="Arial" w:cs="Arial"/>
        </w:rPr>
        <w:t>While R.A. 9710 has made significant progress in promoting gender equality, there are still challenges that need to be addressed such as</w:t>
      </w:r>
    </w:p>
    <w:p w14:paraId="35FB207C" w14:textId="77777777" w:rsidR="002B7A69" w:rsidRPr="002B7A69" w:rsidRDefault="002B7A69" w:rsidP="002B7A69">
      <w:pPr>
        <w:pStyle w:val="ListParagraph"/>
        <w:numPr>
          <w:ilvl w:val="0"/>
          <w:numId w:val="9"/>
        </w:numPr>
        <w:spacing w:after="160" w:line="259" w:lineRule="auto"/>
        <w:rPr>
          <w:rFonts w:ascii="Arial" w:hAnsi="Arial" w:cs="Arial"/>
          <w:b/>
        </w:rPr>
      </w:pPr>
      <w:r w:rsidRPr="002B7A69">
        <w:rPr>
          <w:rStyle w:val="Strong"/>
          <w:rFonts w:ascii="Arial" w:hAnsi="Arial" w:cs="Arial"/>
        </w:rPr>
        <w:t>Implementation Gaps</w:t>
      </w:r>
    </w:p>
    <w:p w14:paraId="7E1A176D" w14:textId="77777777" w:rsidR="002B7A69" w:rsidRPr="002B7A69" w:rsidRDefault="002B7A69" w:rsidP="002B7A69">
      <w:pPr>
        <w:pStyle w:val="ListParagraph"/>
        <w:numPr>
          <w:ilvl w:val="0"/>
          <w:numId w:val="7"/>
        </w:numPr>
        <w:spacing w:after="160" w:line="259" w:lineRule="auto"/>
        <w:rPr>
          <w:rFonts w:ascii="Arial" w:hAnsi="Arial" w:cs="Arial"/>
          <w:b/>
        </w:rPr>
      </w:pPr>
      <w:r w:rsidRPr="002B7A69">
        <w:rPr>
          <w:rFonts w:ascii="Arial" w:hAnsi="Arial" w:cs="Arial"/>
        </w:rPr>
        <w:t xml:space="preserve">Many women, especially those in rural areas, remain unaware of their rights and the services available to them. There is a need for more </w:t>
      </w:r>
      <w:r w:rsidRPr="002B7A69">
        <w:rPr>
          <w:rStyle w:val="Strong"/>
          <w:rFonts w:ascii="Arial" w:hAnsi="Arial" w:cs="Arial"/>
          <w:b w:val="0"/>
        </w:rPr>
        <w:t>awareness</w:t>
      </w:r>
      <w:r w:rsidRPr="002B7A69">
        <w:rPr>
          <w:rStyle w:val="Strong"/>
          <w:rFonts w:ascii="Arial" w:hAnsi="Arial" w:cs="Arial"/>
        </w:rPr>
        <w:t xml:space="preserve"> </w:t>
      </w:r>
      <w:r w:rsidRPr="002B7A69">
        <w:rPr>
          <w:rStyle w:val="Strong"/>
          <w:rFonts w:ascii="Arial" w:hAnsi="Arial" w:cs="Arial"/>
          <w:b w:val="0"/>
        </w:rPr>
        <w:t>campaigns</w:t>
      </w:r>
      <w:r w:rsidRPr="002B7A69">
        <w:rPr>
          <w:rFonts w:ascii="Arial" w:hAnsi="Arial" w:cs="Arial"/>
        </w:rPr>
        <w:t xml:space="preserve"> and better implementation of programs at the grassroots level.</w:t>
      </w:r>
      <w:r w:rsidRPr="002B7A69">
        <w:rPr>
          <w:rFonts w:ascii="Arial" w:hAnsi="Arial" w:cs="Arial"/>
        </w:rPr>
        <w:tab/>
      </w:r>
    </w:p>
    <w:p w14:paraId="4A019D65" w14:textId="77777777" w:rsidR="002B7A69" w:rsidRPr="002B7A69" w:rsidRDefault="002B7A69" w:rsidP="002B7A69">
      <w:pPr>
        <w:pStyle w:val="ListParagraph"/>
        <w:numPr>
          <w:ilvl w:val="0"/>
          <w:numId w:val="9"/>
        </w:numPr>
        <w:spacing w:after="160" w:line="259" w:lineRule="auto"/>
        <w:rPr>
          <w:rFonts w:ascii="Arial" w:hAnsi="Arial" w:cs="Arial"/>
          <w:b/>
        </w:rPr>
      </w:pPr>
      <w:r w:rsidRPr="002B7A69">
        <w:rPr>
          <w:rFonts w:ascii="Arial" w:hAnsi="Arial" w:cs="Arial"/>
          <w:b/>
        </w:rPr>
        <w:t>Cultural and Social Barriers</w:t>
      </w:r>
    </w:p>
    <w:p w14:paraId="3AFFFBA4" w14:textId="77777777" w:rsidR="002B7A69" w:rsidRPr="002B7A69" w:rsidRDefault="002B7A69" w:rsidP="002B7A69">
      <w:pPr>
        <w:pStyle w:val="ListParagraph"/>
        <w:numPr>
          <w:ilvl w:val="0"/>
          <w:numId w:val="7"/>
        </w:numPr>
        <w:spacing w:after="160" w:line="259" w:lineRule="auto"/>
        <w:rPr>
          <w:rFonts w:ascii="Arial" w:hAnsi="Arial" w:cs="Arial"/>
          <w:b/>
        </w:rPr>
      </w:pPr>
      <w:r w:rsidRPr="002B7A69">
        <w:rPr>
          <w:rFonts w:ascii="Arial" w:hAnsi="Arial" w:cs="Arial"/>
        </w:rPr>
        <w:t xml:space="preserve">In some areas of the country, </w:t>
      </w:r>
      <w:r w:rsidRPr="002B7A69">
        <w:rPr>
          <w:rStyle w:val="Strong"/>
          <w:rFonts w:ascii="Arial" w:hAnsi="Arial" w:cs="Arial"/>
          <w:b w:val="0"/>
        </w:rPr>
        <w:t>old beliefs and traditions</w:t>
      </w:r>
      <w:r w:rsidRPr="002B7A69">
        <w:rPr>
          <w:rFonts w:ascii="Arial" w:hAnsi="Arial" w:cs="Arial"/>
        </w:rPr>
        <w:t xml:space="preserve"> about gender still exist, which can make it harder for women to fully enjoy the benefits of the law. These </w:t>
      </w:r>
      <w:r w:rsidRPr="002B7A69">
        <w:rPr>
          <w:rStyle w:val="Strong"/>
          <w:rFonts w:ascii="Arial" w:hAnsi="Arial" w:cs="Arial"/>
        </w:rPr>
        <w:t>cultural practices</w:t>
      </w:r>
      <w:r w:rsidRPr="002B7A69">
        <w:rPr>
          <w:rFonts w:ascii="Arial" w:hAnsi="Arial" w:cs="Arial"/>
          <w:b/>
        </w:rPr>
        <w:t xml:space="preserve"> </w:t>
      </w:r>
      <w:r w:rsidRPr="002B7A69">
        <w:rPr>
          <w:rFonts w:ascii="Arial" w:hAnsi="Arial" w:cs="Arial"/>
        </w:rPr>
        <w:t xml:space="preserve">often treat men and women unequally, which can stop women from having the same chances as men in </w:t>
      </w:r>
      <w:r w:rsidRPr="002B7A69">
        <w:rPr>
          <w:rStyle w:val="Strong"/>
          <w:rFonts w:ascii="Arial" w:hAnsi="Arial" w:cs="Arial"/>
          <w:b w:val="0"/>
        </w:rPr>
        <w:t>education</w:t>
      </w:r>
      <w:r w:rsidRPr="002B7A69">
        <w:rPr>
          <w:rFonts w:ascii="Arial" w:hAnsi="Arial" w:cs="Arial"/>
          <w:b/>
        </w:rPr>
        <w:t xml:space="preserve">, </w:t>
      </w:r>
      <w:r w:rsidRPr="002B7A69">
        <w:rPr>
          <w:rStyle w:val="Strong"/>
          <w:rFonts w:ascii="Arial" w:hAnsi="Arial" w:cs="Arial"/>
        </w:rPr>
        <w:t>healthcare</w:t>
      </w:r>
      <w:r w:rsidRPr="002B7A69">
        <w:rPr>
          <w:rFonts w:ascii="Arial" w:hAnsi="Arial" w:cs="Arial"/>
          <w:b/>
        </w:rPr>
        <w:t>,</w:t>
      </w:r>
      <w:r w:rsidRPr="002B7A69">
        <w:rPr>
          <w:rFonts w:ascii="Arial" w:hAnsi="Arial" w:cs="Arial"/>
        </w:rPr>
        <w:t xml:space="preserve"> and </w:t>
      </w:r>
      <w:r w:rsidRPr="002B7A69">
        <w:rPr>
          <w:rStyle w:val="Strong"/>
          <w:rFonts w:ascii="Arial" w:hAnsi="Arial" w:cs="Arial"/>
          <w:b w:val="0"/>
        </w:rPr>
        <w:t>job opportunities</w:t>
      </w:r>
      <w:r w:rsidRPr="002B7A69">
        <w:rPr>
          <w:rFonts w:ascii="Arial" w:hAnsi="Arial" w:cs="Arial"/>
          <w:b/>
        </w:rPr>
        <w:t>.</w:t>
      </w:r>
    </w:p>
    <w:p w14:paraId="09659527" w14:textId="77777777" w:rsidR="002B7A69" w:rsidRPr="002B7A69" w:rsidRDefault="002B7A69" w:rsidP="002B7A69">
      <w:pPr>
        <w:pStyle w:val="ListParagraph"/>
        <w:numPr>
          <w:ilvl w:val="0"/>
          <w:numId w:val="9"/>
        </w:numPr>
        <w:spacing w:after="160" w:line="259" w:lineRule="auto"/>
        <w:rPr>
          <w:rFonts w:ascii="Arial" w:hAnsi="Arial" w:cs="Arial"/>
          <w:b/>
        </w:rPr>
      </w:pPr>
      <w:r w:rsidRPr="002B7A69">
        <w:rPr>
          <w:rFonts w:ascii="Arial" w:hAnsi="Arial" w:cs="Arial"/>
          <w:b/>
        </w:rPr>
        <w:t>Economic Disparities</w:t>
      </w:r>
    </w:p>
    <w:p w14:paraId="1917B317" w14:textId="77777777" w:rsidR="002B7A69" w:rsidRPr="002B7A69" w:rsidRDefault="002B7A69" w:rsidP="002B7A69">
      <w:pPr>
        <w:pStyle w:val="ListParagraph"/>
        <w:numPr>
          <w:ilvl w:val="0"/>
          <w:numId w:val="7"/>
        </w:numPr>
        <w:spacing w:after="160" w:line="259" w:lineRule="auto"/>
        <w:rPr>
          <w:rFonts w:ascii="Arial" w:hAnsi="Arial" w:cs="Arial"/>
          <w:b/>
        </w:rPr>
      </w:pPr>
      <w:r w:rsidRPr="002B7A69">
        <w:rPr>
          <w:rFonts w:ascii="Arial" w:hAnsi="Arial" w:cs="Arial"/>
        </w:rPr>
        <w:t xml:space="preserve">Even though the </w:t>
      </w:r>
      <w:r w:rsidRPr="002B7A69">
        <w:rPr>
          <w:rStyle w:val="Strong"/>
          <w:rFonts w:ascii="Arial" w:hAnsi="Arial" w:cs="Arial"/>
          <w:b w:val="0"/>
        </w:rPr>
        <w:t>Magna Carta of Women</w:t>
      </w:r>
      <w:r w:rsidRPr="002B7A69">
        <w:rPr>
          <w:rFonts w:ascii="Arial" w:hAnsi="Arial" w:cs="Arial"/>
        </w:rPr>
        <w:t xml:space="preserve"> aims to help women become more </w:t>
      </w:r>
      <w:r w:rsidRPr="002B7A69">
        <w:rPr>
          <w:rStyle w:val="Strong"/>
          <w:rFonts w:ascii="Arial" w:hAnsi="Arial" w:cs="Arial"/>
          <w:b w:val="0"/>
        </w:rPr>
        <w:t>economically empowered</w:t>
      </w:r>
      <w:r w:rsidRPr="002B7A69">
        <w:rPr>
          <w:rFonts w:ascii="Arial" w:hAnsi="Arial" w:cs="Arial"/>
          <w:b/>
        </w:rPr>
        <w:t xml:space="preserve"> </w:t>
      </w:r>
      <w:r w:rsidRPr="002B7A69">
        <w:rPr>
          <w:rFonts w:ascii="Arial" w:hAnsi="Arial" w:cs="Arial"/>
        </w:rPr>
        <w:t xml:space="preserve">(for example, by providing opportunities for women to gain skills, start businesses, or access financial resources), there are still significant </w:t>
      </w:r>
      <w:r w:rsidRPr="002B7A69">
        <w:rPr>
          <w:rStyle w:val="Strong"/>
          <w:rFonts w:ascii="Arial" w:hAnsi="Arial" w:cs="Arial"/>
          <w:b w:val="0"/>
        </w:rPr>
        <w:t>differences in how men and women are treated economically</w:t>
      </w:r>
      <w:r w:rsidRPr="002B7A69">
        <w:rPr>
          <w:rFonts w:ascii="Arial" w:hAnsi="Arial" w:cs="Arial"/>
          <w:b/>
        </w:rPr>
        <w:t>.</w:t>
      </w:r>
      <w:r w:rsidRPr="002B7A69">
        <w:rPr>
          <w:rFonts w:ascii="Arial" w:hAnsi="Arial" w:cs="Arial"/>
        </w:rPr>
        <w:t xml:space="preserve"> One major issue is the </w:t>
      </w:r>
      <w:r w:rsidRPr="002B7A69">
        <w:rPr>
          <w:rStyle w:val="Strong"/>
          <w:rFonts w:ascii="Arial" w:hAnsi="Arial" w:cs="Arial"/>
          <w:b w:val="0"/>
        </w:rPr>
        <w:t>wage gap</w:t>
      </w:r>
      <w:r w:rsidRPr="002B7A69">
        <w:rPr>
          <w:rFonts w:ascii="Arial" w:hAnsi="Arial" w:cs="Arial"/>
          <w:b/>
        </w:rPr>
        <w:t xml:space="preserve">, </w:t>
      </w:r>
      <w:r w:rsidRPr="002B7A69">
        <w:rPr>
          <w:rFonts w:ascii="Arial" w:hAnsi="Arial" w:cs="Arial"/>
        </w:rPr>
        <w:t xml:space="preserve">where women often earn less than men for doing the same job. Another issue is that </w:t>
      </w:r>
      <w:r w:rsidRPr="002B7A69">
        <w:rPr>
          <w:rStyle w:val="Strong"/>
          <w:rFonts w:ascii="Arial" w:hAnsi="Arial" w:cs="Arial"/>
          <w:b w:val="0"/>
        </w:rPr>
        <w:t>women are less likely to hold</w:t>
      </w:r>
      <w:r w:rsidRPr="002B7A69">
        <w:rPr>
          <w:rStyle w:val="Strong"/>
          <w:rFonts w:ascii="Arial" w:hAnsi="Arial" w:cs="Arial"/>
        </w:rPr>
        <w:t xml:space="preserve"> </w:t>
      </w:r>
      <w:r w:rsidRPr="002B7A69">
        <w:rPr>
          <w:rStyle w:val="Strong"/>
          <w:rFonts w:ascii="Arial" w:hAnsi="Arial" w:cs="Arial"/>
          <w:b w:val="0"/>
        </w:rPr>
        <w:t>leadership roles</w:t>
      </w:r>
      <w:r w:rsidRPr="002B7A69">
        <w:rPr>
          <w:rFonts w:ascii="Arial" w:hAnsi="Arial" w:cs="Arial"/>
        </w:rPr>
        <w:t xml:space="preserve"> in businesses and organizations. Even with the law in place to support women, these economic inequalities still exist.</w:t>
      </w:r>
    </w:p>
    <w:p w14:paraId="3D3E3C7E" w14:textId="77777777" w:rsidR="002B7A69" w:rsidRPr="002B7A69" w:rsidRDefault="002B7A69" w:rsidP="002B7A69">
      <w:pPr>
        <w:pStyle w:val="NormalWeb"/>
        <w:ind w:left="720"/>
        <w:rPr>
          <w:rFonts w:ascii="Arial" w:hAnsi="Arial" w:cs="Arial"/>
        </w:rPr>
      </w:pPr>
      <w:r w:rsidRPr="002B7A69">
        <w:rPr>
          <w:rFonts w:ascii="Arial" w:hAnsi="Arial" w:cs="Arial"/>
        </w:rPr>
        <w:t xml:space="preserve">For example, women may be paid less than men in the same position, or they might not be promoted to higher positions as easily as their male counterparts. These kinds of </w:t>
      </w:r>
      <w:r w:rsidRPr="002B7A69">
        <w:rPr>
          <w:rStyle w:val="Strong"/>
          <w:rFonts w:ascii="Arial" w:hAnsi="Arial" w:cs="Arial"/>
          <w:b w:val="0"/>
        </w:rPr>
        <w:t>economic disparities</w:t>
      </w:r>
      <w:r w:rsidRPr="002B7A69">
        <w:rPr>
          <w:rFonts w:ascii="Arial" w:hAnsi="Arial" w:cs="Arial"/>
        </w:rPr>
        <w:t xml:space="preserve"> create barriers that prevent women from achieving the same financial independence and career growth as men.</w:t>
      </w:r>
    </w:p>
    <w:p w14:paraId="7E067773" w14:textId="77777777" w:rsidR="002B7A69" w:rsidRPr="002B7A69" w:rsidRDefault="002B7A69" w:rsidP="002B7A69">
      <w:pPr>
        <w:ind w:left="1080"/>
        <w:rPr>
          <w:rFonts w:ascii="Arial" w:hAnsi="Arial" w:cs="Arial"/>
          <w:lang w:val="en-US"/>
        </w:rPr>
      </w:pPr>
    </w:p>
    <w:p w14:paraId="1924C013" w14:textId="77777777" w:rsidR="00DD7E92" w:rsidRDefault="00DD7E92" w:rsidP="00DD7E92">
      <w:pPr>
        <w:rPr>
          <w:rFonts w:ascii="Arial" w:hAnsi="Arial" w:cs="Arial"/>
          <w:lang w:val="en-US"/>
        </w:rPr>
      </w:pPr>
    </w:p>
    <w:p w14:paraId="74B4DD27" w14:textId="0E5C2819" w:rsidR="00DD7E92" w:rsidRDefault="00164F25" w:rsidP="00DD7E92">
      <w:pPr>
        <w:pStyle w:val="ListParagraph"/>
        <w:numPr>
          <w:ilvl w:val="0"/>
          <w:numId w:val="1"/>
        </w:numPr>
        <w:rPr>
          <w:rFonts w:ascii="Arial" w:hAnsi="Arial" w:cs="Arial"/>
          <w:lang w:val="en-US"/>
        </w:rPr>
      </w:pPr>
      <w:r>
        <w:rPr>
          <w:rFonts w:ascii="Arial" w:hAnsi="Arial" w:cs="Arial"/>
          <w:lang w:val="en-US"/>
        </w:rPr>
        <w:t>Generalization</w:t>
      </w:r>
    </w:p>
    <w:p w14:paraId="0332294F" w14:textId="77777777" w:rsidR="002B7A69" w:rsidRPr="002B7A69" w:rsidRDefault="002B7A69" w:rsidP="002B7A69">
      <w:pPr>
        <w:spacing w:before="100" w:beforeAutospacing="1" w:after="100" w:afterAutospacing="1"/>
        <w:rPr>
          <w:rFonts w:ascii="Arial" w:eastAsia="Times New Roman" w:hAnsi="Arial" w:cs="Arial"/>
          <w:kern w:val="0"/>
          <w:lang w:val="en-US"/>
          <w14:ligatures w14:val="none"/>
        </w:rPr>
      </w:pPr>
      <w:bookmarkStart w:id="0" w:name="_GoBack"/>
      <w:r w:rsidRPr="002B7A69">
        <w:rPr>
          <w:rFonts w:ascii="Arial" w:eastAsia="Times New Roman" w:hAnsi="Arial" w:cs="Arial"/>
          <w:kern w:val="0"/>
          <w:lang w:val="en-US"/>
          <w14:ligatures w14:val="none"/>
        </w:rPr>
        <w:t>The Magna Carta of Women (Republic Act No. 9710),</w:t>
      </w:r>
      <w:bookmarkEnd w:id="0"/>
      <w:r w:rsidRPr="002B7A69">
        <w:rPr>
          <w:rFonts w:ascii="Arial" w:eastAsia="Times New Roman" w:hAnsi="Arial" w:cs="Arial"/>
          <w:kern w:val="0"/>
          <w:lang w:val="en-US"/>
          <w14:ligatures w14:val="none"/>
        </w:rPr>
        <w:t xml:space="preserve"> enacted in 2009, is a significant law in the Philippines designed to protect and promote the rights of women, ensuring they have equal opportunities in various areas such as education, healthcare, employment, and participation in political and societal roles. Its primary goal is to eliminate gender discrimination and empower women, offering them the same rights and opportunities as men. This law plays an essential role in shaping a more equitable society by addressing gender inequality and providing a framework for women's access to education, equal employment opportunities, political empowerment, and reproductive health services.</w:t>
      </w:r>
    </w:p>
    <w:p w14:paraId="36676D4D" w14:textId="77777777" w:rsidR="002B7A69" w:rsidRPr="002B7A69" w:rsidRDefault="002B7A69" w:rsidP="002B7A69">
      <w:pPr>
        <w:spacing w:before="100" w:beforeAutospacing="1" w:after="100" w:afterAutospacing="1"/>
        <w:rPr>
          <w:rFonts w:ascii="Arial" w:eastAsia="Times New Roman" w:hAnsi="Arial" w:cs="Arial"/>
          <w:kern w:val="0"/>
          <w:lang w:val="en-US"/>
          <w14:ligatures w14:val="none"/>
        </w:rPr>
      </w:pPr>
      <w:r w:rsidRPr="002B7A69">
        <w:rPr>
          <w:rFonts w:ascii="Arial" w:eastAsia="Times New Roman" w:hAnsi="Arial" w:cs="Arial"/>
          <w:kern w:val="0"/>
          <w:lang w:val="en-US"/>
          <w14:ligatures w14:val="none"/>
        </w:rPr>
        <w:t>Key provisions of the law include guaranteeing women’s right to equal access to education from primary to tertiary levels, promoting workplace equality, and securing their participation in political decision-making bodies. The law also emphasizes the importance of women's access to reproductive health services, ensuring informed choices regarding family planning and maternal care.</w:t>
      </w:r>
    </w:p>
    <w:p w14:paraId="007AFAF0" w14:textId="24D4C7C3" w:rsidR="002B7A69" w:rsidRPr="002B7A69" w:rsidRDefault="002B7A69" w:rsidP="002B7A69">
      <w:pPr>
        <w:spacing w:before="100" w:beforeAutospacing="1" w:after="100" w:afterAutospacing="1"/>
        <w:rPr>
          <w:rFonts w:ascii="Arial" w:eastAsia="Times New Roman" w:hAnsi="Arial" w:cs="Arial"/>
          <w:kern w:val="0"/>
          <w:lang w:val="en-US"/>
          <w14:ligatures w14:val="none"/>
        </w:rPr>
      </w:pPr>
      <w:r w:rsidRPr="002B7A69">
        <w:rPr>
          <w:rFonts w:ascii="Arial" w:eastAsia="Times New Roman" w:hAnsi="Arial" w:cs="Arial"/>
          <w:kern w:val="0"/>
          <w:lang w:val="en-US"/>
          <w14:ligatures w14:val="none"/>
        </w:rPr>
        <w:t>Despite the progress made by R.A. 9710, challenges remain. Many women, particularly in rural areas, still lack awareness of their rights, and there are gaps in the law’s implementation. Cultural and social barriers continue to hinder women’s full participation in society, as traditional gender biases persist in some regions. Additionally, economic disparities, such as the gender wage gap and unequal access to leadership roles, prevent women from achieving financial independence and career advancement on equal terms with men. These ongoing issues highlight the need for further efforts to ensure the law’s benefits reach all women and that gender equality is realized in practice across all aspects of life.</w:t>
      </w:r>
    </w:p>
    <w:p w14:paraId="3EA60F79" w14:textId="62718538" w:rsidR="00DD7E92" w:rsidRDefault="008F2D6F" w:rsidP="00DD7E92">
      <w:pPr>
        <w:pStyle w:val="ListParagraph"/>
        <w:numPr>
          <w:ilvl w:val="0"/>
          <w:numId w:val="1"/>
        </w:numPr>
        <w:rPr>
          <w:rFonts w:ascii="Arial" w:hAnsi="Arial" w:cs="Arial"/>
          <w:lang w:val="en-US"/>
        </w:rPr>
      </w:pPr>
      <w:r>
        <w:rPr>
          <w:rFonts w:ascii="Arial" w:hAnsi="Arial" w:cs="Arial"/>
          <w:lang w:val="en-US"/>
        </w:rPr>
        <w:t>Assignment</w:t>
      </w:r>
    </w:p>
    <w:p w14:paraId="78480C1D" w14:textId="77777777" w:rsidR="006A04A1" w:rsidRDefault="006A04A1" w:rsidP="006A04A1">
      <w:pPr>
        <w:rPr>
          <w:rFonts w:ascii="Arial" w:hAnsi="Arial" w:cs="Arial"/>
          <w:lang w:val="en-US"/>
        </w:rPr>
      </w:pPr>
    </w:p>
    <w:p w14:paraId="3762600A" w14:textId="77777777" w:rsidR="006A04A1" w:rsidRDefault="006A04A1" w:rsidP="006A04A1">
      <w:pPr>
        <w:rPr>
          <w:rFonts w:ascii="Arial" w:hAnsi="Arial" w:cs="Arial"/>
          <w:lang w:val="en-US"/>
        </w:rPr>
      </w:pPr>
    </w:p>
    <w:p w14:paraId="2260D089" w14:textId="77777777" w:rsidR="00164F25" w:rsidRDefault="00164F25" w:rsidP="006A04A1">
      <w:pPr>
        <w:rPr>
          <w:rFonts w:ascii="Arial" w:hAnsi="Arial" w:cs="Arial"/>
          <w:lang w:val="en-US"/>
        </w:rPr>
      </w:pPr>
    </w:p>
    <w:p w14:paraId="4E04A47D" w14:textId="0BE8B792" w:rsidR="006A04A1" w:rsidRDefault="006A04A1" w:rsidP="006A04A1">
      <w:pPr>
        <w:rPr>
          <w:rFonts w:ascii="Arial" w:hAnsi="Arial" w:cs="Arial"/>
          <w:lang w:val="en-US"/>
        </w:rPr>
      </w:pPr>
      <w:r>
        <w:rPr>
          <w:rFonts w:ascii="Arial" w:hAnsi="Arial" w:cs="Arial"/>
          <w:lang w:val="en-US"/>
        </w:rPr>
        <w:t>Prepared by:</w:t>
      </w:r>
    </w:p>
    <w:p w14:paraId="4C722CFC" w14:textId="77777777" w:rsidR="006A04A1" w:rsidRDefault="006A04A1" w:rsidP="006A04A1">
      <w:pPr>
        <w:rPr>
          <w:rFonts w:ascii="Arial" w:hAnsi="Arial" w:cs="Arial"/>
          <w:lang w:val="en-US"/>
        </w:rPr>
      </w:pPr>
    </w:p>
    <w:p w14:paraId="271D97E9" w14:textId="77777777" w:rsidR="006A04A1" w:rsidRDefault="006A04A1" w:rsidP="006A04A1">
      <w:pPr>
        <w:rPr>
          <w:rFonts w:ascii="Arial" w:hAnsi="Arial" w:cs="Arial"/>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166"/>
      </w:tblGrid>
      <w:tr w:rsidR="001B0BDB" w:rsidRPr="00AE5654" w14:paraId="4400DEEF" w14:textId="77777777" w:rsidTr="00AE5654">
        <w:trPr>
          <w:trHeight w:val="275"/>
        </w:trPr>
        <w:tc>
          <w:tcPr>
            <w:tcW w:w="3166" w:type="dxa"/>
            <w:tcBorders>
              <w:top w:val="nil"/>
              <w:bottom w:val="single" w:sz="4" w:space="0" w:color="auto"/>
            </w:tcBorders>
          </w:tcPr>
          <w:p w14:paraId="5DD4B3C1" w14:textId="1375F44C" w:rsidR="001B0BDB" w:rsidRPr="00AE5654" w:rsidRDefault="00FC6618" w:rsidP="006A04A1">
            <w:pPr>
              <w:rPr>
                <w:rFonts w:ascii="Arial" w:hAnsi="Arial" w:cs="Arial"/>
                <w:sz w:val="20"/>
                <w:szCs w:val="20"/>
                <w:lang w:val="en-US"/>
              </w:rPr>
            </w:pPr>
            <w:proofErr w:type="spellStart"/>
            <w:r>
              <w:rPr>
                <w:rFonts w:ascii="Arial" w:hAnsi="Arial" w:cs="Arial"/>
                <w:sz w:val="20"/>
                <w:szCs w:val="20"/>
                <w:lang w:val="en-US"/>
              </w:rPr>
              <w:t>Lorrence</w:t>
            </w:r>
            <w:proofErr w:type="spellEnd"/>
            <w:r>
              <w:rPr>
                <w:rFonts w:ascii="Arial" w:hAnsi="Arial" w:cs="Arial"/>
                <w:sz w:val="20"/>
                <w:szCs w:val="20"/>
                <w:lang w:val="en-US"/>
              </w:rPr>
              <w:t xml:space="preserve"> Andrei B. Tabalno. BTVTED-EST-1A</w:t>
            </w:r>
          </w:p>
        </w:tc>
      </w:tr>
      <w:tr w:rsidR="001B0BDB" w:rsidRPr="00AE5654" w14:paraId="61D4E236" w14:textId="77777777" w:rsidTr="00AE5654">
        <w:trPr>
          <w:trHeight w:val="275"/>
        </w:trPr>
        <w:tc>
          <w:tcPr>
            <w:tcW w:w="3166" w:type="dxa"/>
            <w:tcBorders>
              <w:bottom w:val="nil"/>
            </w:tcBorders>
          </w:tcPr>
          <w:p w14:paraId="70755F46" w14:textId="6E490CC2" w:rsidR="001B0BDB" w:rsidRPr="00AE5654" w:rsidRDefault="001B0BDB" w:rsidP="006A04A1">
            <w:pPr>
              <w:rPr>
                <w:rFonts w:ascii="Arial" w:hAnsi="Arial" w:cs="Arial"/>
                <w:sz w:val="20"/>
                <w:szCs w:val="20"/>
                <w:lang w:val="en-US"/>
              </w:rPr>
            </w:pPr>
            <w:r w:rsidRPr="00AE5654">
              <w:rPr>
                <w:rFonts w:ascii="Arial" w:hAnsi="Arial" w:cs="Arial"/>
                <w:sz w:val="20"/>
                <w:szCs w:val="20"/>
                <w:lang w:val="en-US"/>
              </w:rPr>
              <w:t>Student Name</w:t>
            </w:r>
            <w:r w:rsidR="00AE5654" w:rsidRPr="00AE5654">
              <w:rPr>
                <w:rFonts w:ascii="Arial" w:hAnsi="Arial" w:cs="Arial"/>
                <w:sz w:val="20"/>
                <w:szCs w:val="20"/>
                <w:lang w:val="en-US"/>
              </w:rPr>
              <w:t>, Course &amp; Section</w:t>
            </w:r>
          </w:p>
        </w:tc>
      </w:tr>
    </w:tbl>
    <w:p w14:paraId="474B8C1F" w14:textId="77777777" w:rsidR="006A04A1" w:rsidRPr="006A04A1" w:rsidRDefault="006A04A1" w:rsidP="006A04A1">
      <w:pPr>
        <w:rPr>
          <w:rFonts w:ascii="Arial" w:hAnsi="Arial" w:cs="Arial"/>
          <w:lang w:val="en-US"/>
        </w:rPr>
      </w:pPr>
    </w:p>
    <w:sectPr w:rsidR="006A04A1" w:rsidRPr="006A04A1" w:rsidSect="00DD7E92">
      <w:headerReference w:type="even" r:id="rId14"/>
      <w:headerReference w:type="default" r:id="rId15"/>
      <w:footerReference w:type="even" r:id="rId16"/>
      <w:footerReference w:type="default" r:id="rId17"/>
      <w:headerReference w:type="first" r:id="rId18"/>
      <w:footerReference w:type="first" r:id="rId19"/>
      <w:pgSz w:w="11904" w:h="16836"/>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60F33" w14:textId="77777777" w:rsidR="00834991" w:rsidRDefault="00834991" w:rsidP="00164F25">
      <w:r>
        <w:separator/>
      </w:r>
    </w:p>
  </w:endnote>
  <w:endnote w:type="continuationSeparator" w:id="0">
    <w:p w14:paraId="4DD16021" w14:textId="77777777" w:rsidR="00834991" w:rsidRDefault="00834991" w:rsidP="0016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20A86" w14:textId="77777777" w:rsidR="00164F25" w:rsidRDefault="00164F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2A448" w14:textId="4220716A" w:rsidR="00164F25" w:rsidRDefault="004B3F72">
    <w:pPr>
      <w:pStyle w:val="Footer"/>
      <w:rPr>
        <w:rFonts w:ascii="Arial Narrow" w:hAnsi="Arial Narrow"/>
        <w:sz w:val="16"/>
        <w:szCs w:val="16"/>
        <w:lang w:val="en-US"/>
      </w:rPr>
    </w:pPr>
    <w:r w:rsidRPr="004B3F72">
      <w:rPr>
        <w:rFonts w:ascii="Arial Narrow" w:hAnsi="Arial Narrow"/>
        <w:sz w:val="16"/>
        <w:szCs w:val="16"/>
        <w:lang w:val="en-US"/>
      </w:rPr>
      <w:t>THIS MATERIAL IS FOR PROFED 5 USE ONLY. REPRODUCTION IS STRICTLY PROHIBITED.</w:t>
    </w:r>
  </w:p>
  <w:p w14:paraId="01FB02F7" w14:textId="1BF68FB7" w:rsidR="008211C5" w:rsidRPr="004B3F72" w:rsidRDefault="008211C5">
    <w:pPr>
      <w:pStyle w:val="Footer"/>
      <w:rPr>
        <w:rFonts w:ascii="Arial Narrow" w:hAnsi="Arial Narrow"/>
        <w:sz w:val="16"/>
        <w:szCs w:val="16"/>
        <w:lang w:val="en-US"/>
      </w:rPr>
    </w:pPr>
    <w:r>
      <w:rPr>
        <w:rFonts w:ascii="Arial Narrow" w:hAnsi="Arial Narrow"/>
        <w:sz w:val="16"/>
        <w:szCs w:val="16"/>
        <w:lang w:val="en-US"/>
      </w:rPr>
      <w:t>DIANNE VILLAR – FACULTY, PIE DEPARTMENT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FC283" w14:textId="77777777" w:rsidR="00164F25" w:rsidRDefault="00164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0D14B6" w14:textId="77777777" w:rsidR="00834991" w:rsidRDefault="00834991" w:rsidP="00164F25">
      <w:r>
        <w:separator/>
      </w:r>
    </w:p>
  </w:footnote>
  <w:footnote w:type="continuationSeparator" w:id="0">
    <w:p w14:paraId="17682DB8" w14:textId="77777777" w:rsidR="00834991" w:rsidRDefault="00834991" w:rsidP="00164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099D3" w14:textId="77777777" w:rsidR="00164F25" w:rsidRDefault="00164F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D829" w14:textId="77777777" w:rsidR="00164F25" w:rsidRDefault="00164F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ADABB" w14:textId="77777777" w:rsidR="00164F25" w:rsidRDefault="00164F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5319B"/>
    <w:multiLevelType w:val="hybridMultilevel"/>
    <w:tmpl w:val="8AC2C430"/>
    <w:lvl w:ilvl="0" w:tplc="73FAAD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94673E9"/>
    <w:multiLevelType w:val="hybridMultilevel"/>
    <w:tmpl w:val="C7CA43B6"/>
    <w:lvl w:ilvl="0" w:tplc="32FC69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1C61999"/>
    <w:multiLevelType w:val="hybridMultilevel"/>
    <w:tmpl w:val="CCE02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91DBE"/>
    <w:multiLevelType w:val="hybridMultilevel"/>
    <w:tmpl w:val="10141454"/>
    <w:lvl w:ilvl="0" w:tplc="7F7C605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D37B2C"/>
    <w:multiLevelType w:val="hybridMultilevel"/>
    <w:tmpl w:val="4642A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173E63"/>
    <w:multiLevelType w:val="hybridMultilevel"/>
    <w:tmpl w:val="AB36BD30"/>
    <w:lvl w:ilvl="0" w:tplc="4B8A69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C60364"/>
    <w:multiLevelType w:val="hybridMultilevel"/>
    <w:tmpl w:val="0DC474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DAE73A5"/>
    <w:multiLevelType w:val="hybridMultilevel"/>
    <w:tmpl w:val="9030EC8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6B71C9"/>
    <w:multiLevelType w:val="hybridMultilevel"/>
    <w:tmpl w:val="65DC2490"/>
    <w:lvl w:ilvl="0" w:tplc="C96A7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2"/>
  </w:num>
  <w:num w:numId="4">
    <w:abstractNumId w:val="8"/>
  </w:num>
  <w:num w:numId="5">
    <w:abstractNumId w:val="0"/>
  </w:num>
  <w:num w:numId="6">
    <w:abstractNumId w:val="6"/>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E92"/>
    <w:rsid w:val="00037839"/>
    <w:rsid w:val="00143251"/>
    <w:rsid w:val="00164F25"/>
    <w:rsid w:val="001B0BDB"/>
    <w:rsid w:val="001D458D"/>
    <w:rsid w:val="00236A09"/>
    <w:rsid w:val="002462D5"/>
    <w:rsid w:val="002B7A69"/>
    <w:rsid w:val="0033050B"/>
    <w:rsid w:val="00385D61"/>
    <w:rsid w:val="003B6DD2"/>
    <w:rsid w:val="00447926"/>
    <w:rsid w:val="0045289A"/>
    <w:rsid w:val="004B3F72"/>
    <w:rsid w:val="004E63E2"/>
    <w:rsid w:val="004F6F6C"/>
    <w:rsid w:val="00516325"/>
    <w:rsid w:val="005563EC"/>
    <w:rsid w:val="005D198E"/>
    <w:rsid w:val="006A04A1"/>
    <w:rsid w:val="007277CB"/>
    <w:rsid w:val="007C530B"/>
    <w:rsid w:val="00820A1D"/>
    <w:rsid w:val="008211C5"/>
    <w:rsid w:val="00834991"/>
    <w:rsid w:val="00885D58"/>
    <w:rsid w:val="008F2D6F"/>
    <w:rsid w:val="00947699"/>
    <w:rsid w:val="009A3F84"/>
    <w:rsid w:val="009E2121"/>
    <w:rsid w:val="00A719AE"/>
    <w:rsid w:val="00AE5654"/>
    <w:rsid w:val="00C07A3D"/>
    <w:rsid w:val="00C764F7"/>
    <w:rsid w:val="00D75891"/>
    <w:rsid w:val="00D7687E"/>
    <w:rsid w:val="00DC722E"/>
    <w:rsid w:val="00DD66AC"/>
    <w:rsid w:val="00DD7E92"/>
    <w:rsid w:val="00EF404B"/>
    <w:rsid w:val="00F45C9D"/>
    <w:rsid w:val="00F7497B"/>
    <w:rsid w:val="00FC66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8328"/>
  <w15:chartTrackingRefBased/>
  <w15:docId w15:val="{CA6FE7CA-2FE3-DE49-B3C3-6FCCEF1C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E92"/>
    <w:pPr>
      <w:ind w:left="720"/>
      <w:contextualSpacing/>
    </w:pPr>
  </w:style>
  <w:style w:type="table" w:styleId="TableGrid">
    <w:name w:val="Table Grid"/>
    <w:basedOn w:val="TableNormal"/>
    <w:uiPriority w:val="39"/>
    <w:rsid w:val="001B0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4F25"/>
    <w:pPr>
      <w:tabs>
        <w:tab w:val="center" w:pos="4680"/>
        <w:tab w:val="right" w:pos="9360"/>
      </w:tabs>
    </w:pPr>
  </w:style>
  <w:style w:type="character" w:customStyle="1" w:styleId="HeaderChar">
    <w:name w:val="Header Char"/>
    <w:basedOn w:val="DefaultParagraphFont"/>
    <w:link w:val="Header"/>
    <w:uiPriority w:val="99"/>
    <w:rsid w:val="00164F25"/>
  </w:style>
  <w:style w:type="paragraph" w:styleId="Footer">
    <w:name w:val="footer"/>
    <w:basedOn w:val="Normal"/>
    <w:link w:val="FooterChar"/>
    <w:uiPriority w:val="99"/>
    <w:unhideWhenUsed/>
    <w:rsid w:val="00164F25"/>
    <w:pPr>
      <w:tabs>
        <w:tab w:val="center" w:pos="4680"/>
        <w:tab w:val="right" w:pos="9360"/>
      </w:tabs>
    </w:pPr>
  </w:style>
  <w:style w:type="character" w:customStyle="1" w:styleId="FooterChar">
    <w:name w:val="Footer Char"/>
    <w:basedOn w:val="DefaultParagraphFont"/>
    <w:link w:val="Footer"/>
    <w:uiPriority w:val="99"/>
    <w:rsid w:val="00164F25"/>
  </w:style>
  <w:style w:type="character" w:styleId="Emphasis">
    <w:name w:val="Emphasis"/>
    <w:basedOn w:val="DefaultParagraphFont"/>
    <w:uiPriority w:val="20"/>
    <w:qFormat/>
    <w:rsid w:val="002B7A69"/>
    <w:rPr>
      <w:i/>
      <w:iCs/>
    </w:rPr>
  </w:style>
  <w:style w:type="character" w:styleId="Hyperlink">
    <w:name w:val="Hyperlink"/>
    <w:basedOn w:val="DefaultParagraphFont"/>
    <w:uiPriority w:val="99"/>
    <w:unhideWhenUsed/>
    <w:rsid w:val="002B7A69"/>
    <w:rPr>
      <w:color w:val="0563C1" w:themeColor="hyperlink"/>
      <w:u w:val="single"/>
    </w:rPr>
  </w:style>
  <w:style w:type="character" w:styleId="Strong">
    <w:name w:val="Strong"/>
    <w:basedOn w:val="DefaultParagraphFont"/>
    <w:uiPriority w:val="22"/>
    <w:qFormat/>
    <w:rsid w:val="002B7A69"/>
    <w:rPr>
      <w:b/>
      <w:bCs/>
    </w:rPr>
  </w:style>
  <w:style w:type="paragraph" w:styleId="NormalWeb">
    <w:name w:val="Normal (Web)"/>
    <w:basedOn w:val="Normal"/>
    <w:uiPriority w:val="99"/>
    <w:unhideWhenUsed/>
    <w:rsid w:val="002B7A69"/>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88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cieerd.dost.gov.ph/images/gad_corner/MCW-Brochure-inner-page-English.pd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officialgazette.gov.ph/2009/08/14/republic-act-no-9710/"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ws.up.edu.ph/wp-content/uploads/RA-9710-Magna-Carta-of-Women.pdf"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pcw.gov.ph/magna-carta-of-women/"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431132889AA24F96554698DF4849DF" ma:contentTypeVersion="4" ma:contentTypeDescription="Create a new document." ma:contentTypeScope="" ma:versionID="db9a6e1270b0a5dfb08c17da969a8839">
  <xsd:schema xmlns:xsd="http://www.w3.org/2001/XMLSchema" xmlns:xs="http://www.w3.org/2001/XMLSchema" xmlns:p="http://schemas.microsoft.com/office/2006/metadata/properties" xmlns:ns2="b0e2d180-b979-4f8a-869c-fd1b7cad3607" targetNamespace="http://schemas.microsoft.com/office/2006/metadata/properties" ma:root="true" ma:fieldsID="b4c91666fe34d65582a283fbe0425c4e" ns2:_="">
    <xsd:import namespace="b0e2d180-b979-4f8a-869c-fd1b7cad36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e2d180-b979-4f8a-869c-fd1b7cad36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48397-75C0-4811-B2C5-BBF8DEB3571A}">
  <ds:schemaRefs>
    <ds:schemaRef ds:uri="http://schemas.microsoft.com/sharepoint/v3/contenttype/forms"/>
  </ds:schemaRefs>
</ds:datastoreItem>
</file>

<file path=customXml/itemProps2.xml><?xml version="1.0" encoding="utf-8"?>
<ds:datastoreItem xmlns:ds="http://schemas.openxmlformats.org/officeDocument/2006/customXml" ds:itemID="{F5D9EB18-E412-4681-BE49-AF10B7A19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e2d180-b979-4f8a-869c-fd1b7cad36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68461B-074F-461A-93ED-122BDD39D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DIANNE VILLAR</dc:creator>
  <cp:keywords/>
  <dc:description/>
  <cp:lastModifiedBy>Louis Tabalno</cp:lastModifiedBy>
  <cp:revision>2</cp:revision>
  <dcterms:created xsi:type="dcterms:W3CDTF">2024-12-01T14:32:00Z</dcterms:created>
  <dcterms:modified xsi:type="dcterms:W3CDTF">2024-12-01T14:32:00Z</dcterms:modified>
</cp:coreProperties>
</file>