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8A3DE" w14:textId="77777777" w:rsidR="00153A1E" w:rsidRPr="00A11142" w:rsidRDefault="00153A1E" w:rsidP="00153A1E">
      <w:pPr>
        <w:pStyle w:val="CaptionFigureandTable"/>
        <w:spacing w:after="0"/>
        <w:rPr>
          <w:color w:val="000000" w:themeColor="text1"/>
        </w:rPr>
      </w:pPr>
      <w:r w:rsidRPr="00A11142">
        <w:rPr>
          <w:color w:val="000000" w:themeColor="text1"/>
          <w:sz w:val="18"/>
        </w:rPr>
        <w:t xml:space="preserve">Table </w:t>
      </w:r>
      <w:r>
        <w:rPr>
          <w:color w:val="000000" w:themeColor="text1"/>
          <w:sz w:val="18"/>
        </w:rPr>
        <w:t>5</w:t>
      </w:r>
      <w:r w:rsidRPr="00A11142">
        <w:rPr>
          <w:color w:val="000000" w:themeColor="text1"/>
          <w:sz w:val="18"/>
        </w:rPr>
        <w:t>.</w:t>
      </w:r>
      <w:r w:rsidRPr="00A11142">
        <w:rPr>
          <w:rFonts w:hint="eastAsia"/>
          <w:b w:val="0"/>
          <w:bCs w:val="0"/>
          <w:color w:val="000000" w:themeColor="text1"/>
          <w:sz w:val="18"/>
        </w:rPr>
        <w:t xml:space="preserve"> </w:t>
      </w:r>
      <w:r w:rsidRPr="00A11142">
        <w:rPr>
          <w:b w:val="0"/>
          <w:bCs w:val="0"/>
          <w:color w:val="000000" w:themeColor="text1"/>
          <w:sz w:val="18"/>
          <w:lang w:eastAsia="zh-CN"/>
        </w:rPr>
        <w:t>R</w:t>
      </w:r>
      <w:r w:rsidRPr="00A11142">
        <w:rPr>
          <w:rFonts w:hint="eastAsia"/>
          <w:b w:val="0"/>
          <w:bCs w:val="0"/>
          <w:color w:val="000000" w:themeColor="text1"/>
          <w:sz w:val="18"/>
          <w:lang w:eastAsia="zh-CN"/>
        </w:rPr>
        <w:t>esponse</w:t>
      </w:r>
      <w:r w:rsidRPr="00A11142">
        <w:rPr>
          <w:b w:val="0"/>
          <w:bCs w:val="0"/>
          <w:color w:val="000000" w:themeColor="text1"/>
          <w:sz w:val="18"/>
          <w:lang w:eastAsia="zh-CN"/>
        </w:rPr>
        <w:t xml:space="preserve">s </w:t>
      </w:r>
      <w:r w:rsidRPr="00A11142">
        <w:rPr>
          <w:rFonts w:hint="eastAsia"/>
          <w:b w:val="0"/>
          <w:bCs w:val="0"/>
          <w:color w:val="000000" w:themeColor="text1"/>
          <w:sz w:val="18"/>
          <w:lang w:eastAsia="zh-CN"/>
        </w:rPr>
        <w:t>to</w:t>
      </w:r>
      <w:r w:rsidRPr="00A11142">
        <w:rPr>
          <w:b w:val="0"/>
          <w:bCs w:val="0"/>
          <w:color w:val="000000" w:themeColor="text1"/>
          <w:sz w:val="18"/>
          <w:lang w:eastAsia="zh-CN"/>
        </w:rPr>
        <w:t xml:space="preserve"> </w:t>
      </w:r>
      <w:r w:rsidRPr="00A11142">
        <w:rPr>
          <w:rFonts w:hint="eastAsia"/>
          <w:b w:val="0"/>
          <w:bCs w:val="0"/>
          <w:color w:val="000000" w:themeColor="text1"/>
          <w:sz w:val="18"/>
          <w:lang w:eastAsia="zh-CN"/>
        </w:rPr>
        <w:t>risks</w:t>
      </w:r>
      <w:r w:rsidRPr="00A11142">
        <w:rPr>
          <w:b w:val="0"/>
          <w:bCs w:val="0"/>
          <w:color w:val="000000" w:themeColor="text1"/>
          <w:sz w:val="18"/>
          <w:lang w:eastAsia="zh-CN"/>
        </w:rPr>
        <w:t xml:space="preserve"> in different data governance categories</w:t>
      </w:r>
    </w:p>
    <w:tbl>
      <w:tblPr>
        <w:tblStyle w:val="a3"/>
        <w:tblW w:w="10065" w:type="dxa"/>
        <w:tblInd w:w="-572" w:type="dxa"/>
        <w:tblLayout w:type="fixed"/>
        <w:tblLook w:val="0000" w:firstRow="0" w:lastRow="0" w:firstColumn="0" w:lastColumn="0" w:noHBand="0" w:noVBand="0"/>
        <w:tblCaption w:val="This is a sample table and can be ignored"/>
        <w:tblDescription w:val="In here we would add a more detailed description"/>
      </w:tblPr>
      <w:tblGrid>
        <w:gridCol w:w="1418"/>
        <w:gridCol w:w="1276"/>
        <w:gridCol w:w="5244"/>
        <w:gridCol w:w="2127"/>
      </w:tblGrid>
      <w:tr w:rsidR="00153A1E" w:rsidRPr="00A11142" w14:paraId="138AE263" w14:textId="77777777" w:rsidTr="00C26530">
        <w:trPr>
          <w:trHeight w:val="231"/>
        </w:trPr>
        <w:tc>
          <w:tcPr>
            <w:tcW w:w="1418" w:type="dxa"/>
            <w:vAlign w:val="center"/>
          </w:tcPr>
          <w:p w14:paraId="38634F1F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A11142"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  <w:t>Data governance categories</w:t>
            </w:r>
          </w:p>
        </w:tc>
        <w:tc>
          <w:tcPr>
            <w:tcW w:w="1276" w:type="dxa"/>
            <w:vAlign w:val="center"/>
          </w:tcPr>
          <w:p w14:paraId="54DF1913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A11142"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  <w:t>Risks con</w:t>
            </w:r>
            <w:r w:rsidRPr="00A11142">
              <w:rPr>
                <w:rFonts w:hint="eastAsia"/>
                <w:b/>
                <w:bCs/>
                <w:color w:val="000000" w:themeColor="text1"/>
                <w:sz w:val="15"/>
                <w:szCs w:val="15"/>
                <w:lang w:eastAsia="zh-CN"/>
              </w:rPr>
              <w:t>tents</w:t>
            </w:r>
          </w:p>
        </w:tc>
        <w:tc>
          <w:tcPr>
            <w:tcW w:w="5244" w:type="dxa"/>
            <w:vAlign w:val="center"/>
          </w:tcPr>
          <w:p w14:paraId="0DD1CC51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  <w:t>Repon</w:t>
            </w:r>
            <w:r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  <w:t>s</w:t>
            </w:r>
            <w:r w:rsidRPr="00A11142"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  <w:t>e</w:t>
            </w:r>
            <w:proofErr w:type="spellEnd"/>
            <w:r w:rsidRPr="00A11142"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hint="eastAsia"/>
                <w:b/>
                <w:bCs/>
                <w:color w:val="000000" w:themeColor="text1"/>
                <w:sz w:val="15"/>
                <w:szCs w:val="15"/>
                <w:lang w:eastAsia="zh-CN"/>
              </w:rPr>
              <w:t>measures</w:t>
            </w:r>
          </w:p>
        </w:tc>
        <w:tc>
          <w:tcPr>
            <w:tcW w:w="2127" w:type="dxa"/>
            <w:vAlign w:val="center"/>
          </w:tcPr>
          <w:p w14:paraId="4497EDCE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  <w:t>C</w:t>
            </w:r>
            <w:r w:rsidRPr="00A11142">
              <w:rPr>
                <w:rFonts w:hint="eastAsia"/>
                <w:b/>
                <w:bCs/>
                <w:color w:val="000000" w:themeColor="text1"/>
                <w:sz w:val="15"/>
                <w:szCs w:val="15"/>
                <w:lang w:eastAsia="zh-CN"/>
              </w:rPr>
              <w:t>ases</w:t>
            </w:r>
            <w:r w:rsidRPr="00A11142"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hint="eastAsia"/>
                <w:b/>
                <w:bCs/>
                <w:color w:val="000000" w:themeColor="text1"/>
                <w:sz w:val="15"/>
                <w:szCs w:val="15"/>
                <w:lang w:eastAsia="zh-CN"/>
              </w:rPr>
              <w:t>and</w:t>
            </w:r>
            <w:r w:rsidRPr="00A11142"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hint="eastAsia"/>
                <w:b/>
                <w:bCs/>
                <w:color w:val="000000" w:themeColor="text1"/>
                <w:sz w:val="15"/>
                <w:szCs w:val="15"/>
                <w:lang w:eastAsia="zh-CN"/>
              </w:rPr>
              <w:t>policies</w:t>
            </w:r>
            <w:r w:rsidRPr="00A11142">
              <w:rPr>
                <w:b/>
                <w:bCs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hint="eastAsia"/>
                <w:b/>
                <w:bCs/>
                <w:color w:val="000000" w:themeColor="text1"/>
                <w:sz w:val="15"/>
                <w:szCs w:val="15"/>
                <w:lang w:eastAsia="zh-CN"/>
              </w:rPr>
              <w:t>samples</w:t>
            </w:r>
          </w:p>
        </w:tc>
      </w:tr>
      <w:tr w:rsidR="00153A1E" w:rsidRPr="00A11142" w14:paraId="68856673" w14:textId="77777777" w:rsidTr="00C26530">
        <w:trPr>
          <w:trHeight w:val="229"/>
        </w:trPr>
        <w:tc>
          <w:tcPr>
            <w:tcW w:w="1418" w:type="dxa"/>
            <w:vMerge w:val="restart"/>
            <w:vAlign w:val="center"/>
          </w:tcPr>
          <w:p w14:paraId="521BAEAE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Governance subjects</w:t>
            </w:r>
          </w:p>
        </w:tc>
        <w:tc>
          <w:tcPr>
            <w:tcW w:w="1276" w:type="dxa"/>
            <w:vAlign w:val="center"/>
          </w:tcPr>
          <w:p w14:paraId="0B092454" w14:textId="77777777" w:rsidR="00153A1E" w:rsidRPr="00A11142" w:rsidRDefault="00153A1E" w:rsidP="00C26530">
            <w:pPr>
              <w:pStyle w:val="Normal"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  <w:t>Communication barriers</w:t>
            </w:r>
          </w:p>
        </w:tc>
        <w:tc>
          <w:tcPr>
            <w:tcW w:w="5244" w:type="dxa"/>
            <w:vAlign w:val="center"/>
          </w:tcPr>
          <w:p w14:paraId="78C35931" w14:textId="77777777" w:rsidR="00153A1E" w:rsidRPr="00A11142" w:rsidRDefault="00153A1E" w:rsidP="00C26530">
            <w:pPr>
              <w:pStyle w:val="Normal"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  <w:t>B</w:t>
            </w:r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  <w:lang w:eastAsia="zh-CN"/>
              </w:rPr>
              <w:t>uild</w:t>
            </w: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  <w:t xml:space="preserve"> a community </w:t>
            </w:r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  <w:lang w:eastAsia="zh-CN"/>
              </w:rPr>
              <w:t>for</w:t>
            </w: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  <w:t xml:space="preserve"> provid</w:t>
            </w:r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  <w:lang w:eastAsia="zh-CN"/>
              </w:rPr>
              <w:t>ing</w:t>
            </w: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  <w:t xml:space="preserve"> feedback and experiences. Establish an AI board, advisory </w:t>
            </w:r>
            <w:proofErr w:type="gramStart"/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  <w:t>forum</w:t>
            </w:r>
            <w:proofErr w:type="gramEnd"/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  <w:t xml:space="preserve"> and single points of contact. </w:t>
            </w:r>
          </w:p>
        </w:tc>
        <w:tc>
          <w:tcPr>
            <w:tcW w:w="2127" w:type="dxa"/>
            <w:vAlign w:val="center"/>
          </w:tcPr>
          <w:p w14:paraId="7941B338" w14:textId="77777777" w:rsidR="00153A1E" w:rsidRPr="00A11142" w:rsidRDefault="00153A1E" w:rsidP="00C26530">
            <w:pPr>
              <w:pStyle w:val="Normal"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  <w:t>Replika</w:t>
            </w:r>
            <w:proofErr w:type="spellEnd"/>
            <w:r w:rsidRPr="00A11142">
              <w:rPr>
                <w:rFonts w:hAnsi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hAnsi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  <w:t>CARESSES project</w:t>
            </w:r>
            <w:r w:rsidRPr="00A11142">
              <w:rPr>
                <w:rFonts w:hAnsi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EU</w:t>
            </w: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  <w:lang w:eastAsia="zh-CN"/>
              </w:rPr>
              <w:t xml:space="preserve"> AI Act</w:t>
            </w:r>
          </w:p>
        </w:tc>
      </w:tr>
      <w:tr w:rsidR="00153A1E" w:rsidRPr="00A11142" w14:paraId="0C7A6759" w14:textId="77777777" w:rsidTr="00C26530">
        <w:trPr>
          <w:trHeight w:val="461"/>
        </w:trPr>
        <w:tc>
          <w:tcPr>
            <w:tcW w:w="1418" w:type="dxa"/>
            <w:vMerge/>
            <w:vAlign w:val="center"/>
          </w:tcPr>
          <w:p w14:paraId="60B83466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15BF191B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Unclear responsibilities</w:t>
            </w:r>
          </w:p>
        </w:tc>
        <w:tc>
          <w:tcPr>
            <w:tcW w:w="5244" w:type="dxa"/>
            <w:vAlign w:val="center"/>
          </w:tcPr>
          <w:p w14:paraId="5F32D16F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Clarif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ying responsibilities along the AI value chain, supervisory authority’s tasks, data protection officer’s tasks, data controller and processor responsibilities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, services providers,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powers of digital services coordinators, etc.</w:t>
            </w:r>
          </w:p>
        </w:tc>
        <w:tc>
          <w:tcPr>
            <w:tcW w:w="2127" w:type="dxa"/>
            <w:vAlign w:val="center"/>
          </w:tcPr>
          <w:p w14:paraId="3B998B1B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GDPR(</w:t>
            </w:r>
            <w:r w:rsidRPr="00A11142">
              <w:rPr>
                <w:color w:val="000000" w:themeColor="text1"/>
                <w:sz w:val="15"/>
                <w:szCs w:val="15"/>
              </w:rPr>
              <w:t>General data protection regulation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)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DSA</w:t>
            </w:r>
            <w:r w:rsidRPr="00A11142">
              <w:rPr>
                <w:color w:val="000000" w:themeColor="text1"/>
                <w:sz w:val="15"/>
                <w:szCs w:val="15"/>
              </w:rPr>
              <w:t>(Digital Services Act)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>, EU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AI Act</w:t>
            </w:r>
          </w:p>
        </w:tc>
      </w:tr>
      <w:tr w:rsidR="00153A1E" w:rsidRPr="00A11142" w14:paraId="09CA7352" w14:textId="77777777" w:rsidTr="00C26530">
        <w:trPr>
          <w:trHeight w:val="71"/>
        </w:trPr>
        <w:tc>
          <w:tcPr>
            <w:tcW w:w="1418" w:type="dxa"/>
            <w:vMerge/>
            <w:vAlign w:val="center"/>
          </w:tcPr>
          <w:p w14:paraId="4EDB8152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55FD0546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Inexperienced</w:t>
            </w:r>
          </w:p>
        </w:tc>
        <w:tc>
          <w:tcPr>
            <w:tcW w:w="5244" w:type="dxa"/>
            <w:vAlign w:val="center"/>
          </w:tcPr>
          <w:p w14:paraId="66C02A24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Set up an independent advisory group. Test high-risk AI systems in real-world conditions. Establish EU database for high-risk AI systems.</w:t>
            </w:r>
          </w:p>
        </w:tc>
        <w:tc>
          <w:tcPr>
            <w:tcW w:w="2127" w:type="dxa"/>
            <w:vAlign w:val="center"/>
          </w:tcPr>
          <w:p w14:paraId="751D8D81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Replika</w:t>
            </w:r>
            <w:proofErr w:type="spellEnd"/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DSA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AI Act</w:t>
            </w:r>
          </w:p>
        </w:tc>
      </w:tr>
      <w:tr w:rsidR="00153A1E" w:rsidRPr="00A11142" w14:paraId="256A57E2" w14:textId="77777777" w:rsidTr="00C26530">
        <w:trPr>
          <w:trHeight w:val="573"/>
        </w:trPr>
        <w:tc>
          <w:tcPr>
            <w:tcW w:w="1418" w:type="dxa"/>
            <w:vMerge/>
            <w:vAlign w:val="center"/>
          </w:tcPr>
          <w:p w14:paraId="36B6C22B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1C43BA00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Lack of supervision and management</w:t>
            </w:r>
          </w:p>
        </w:tc>
        <w:tc>
          <w:tcPr>
            <w:tcW w:w="5244" w:type="dxa"/>
            <w:vAlign w:val="center"/>
          </w:tcPr>
          <w:p w14:paraId="6D434553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Ensure the right to file a complaint with the competent supervisory authority. Enhance overseen by natural persons. Work closely with the National Health Service (NHS) and regulatory bodies. Ensure verification by independent experts.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 Build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a post-market monitoring system. Report serious incidents.</w:t>
            </w:r>
          </w:p>
        </w:tc>
        <w:tc>
          <w:tcPr>
            <w:tcW w:w="2127" w:type="dxa"/>
            <w:vAlign w:val="center"/>
          </w:tcPr>
          <w:p w14:paraId="48C76B40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Replika</w:t>
            </w:r>
            <w:proofErr w:type="spellEnd"/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Elomia</w:t>
            </w:r>
            <w:proofErr w:type="spellEnd"/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Emohaa</w:t>
            </w:r>
            <w:proofErr w:type="spellEnd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Molly, GDPR, DSA,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>EU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AI Act</w:t>
            </w:r>
          </w:p>
        </w:tc>
      </w:tr>
      <w:tr w:rsidR="00153A1E" w:rsidRPr="00A11142" w14:paraId="320C9676" w14:textId="77777777" w:rsidTr="00C26530">
        <w:trPr>
          <w:trHeight w:val="402"/>
        </w:trPr>
        <w:tc>
          <w:tcPr>
            <w:tcW w:w="1418" w:type="dxa"/>
            <w:vMerge/>
            <w:vAlign w:val="center"/>
          </w:tcPr>
          <w:p w14:paraId="7BBA4693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34326E90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Limited literacy</w:t>
            </w:r>
          </w:p>
        </w:tc>
        <w:tc>
          <w:tcPr>
            <w:tcW w:w="5244" w:type="dxa"/>
            <w:vAlign w:val="center"/>
          </w:tcPr>
          <w:p w14:paraId="0DC8593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Employee’s education. Multidisciplinary experts’ support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.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Development of expertise and capabilities.</w:t>
            </w:r>
          </w:p>
        </w:tc>
        <w:tc>
          <w:tcPr>
            <w:tcW w:w="2127" w:type="dxa"/>
            <w:vAlign w:val="center"/>
          </w:tcPr>
          <w:p w14:paraId="5A1350B8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Medtronic,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Emohaa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、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HIPAA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DSA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>EU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AI Act</w:t>
            </w:r>
          </w:p>
        </w:tc>
      </w:tr>
      <w:tr w:rsidR="00153A1E" w:rsidRPr="00A11142" w14:paraId="55D7CEE8" w14:textId="77777777" w:rsidTr="00C26530">
        <w:trPr>
          <w:trHeight w:val="46"/>
        </w:trPr>
        <w:tc>
          <w:tcPr>
            <w:tcW w:w="1418" w:type="dxa"/>
            <w:vMerge/>
            <w:vAlign w:val="center"/>
          </w:tcPr>
          <w:p w14:paraId="27F4EAC2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79DEEFA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Trust issues</w:t>
            </w:r>
          </w:p>
        </w:tc>
        <w:tc>
          <w:tcPr>
            <w:tcW w:w="5244" w:type="dxa"/>
            <w:vAlign w:val="center"/>
          </w:tcPr>
          <w:p w14:paraId="789D28C4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Disclosure 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c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ode of conduct and ethics, patient bill of rights. ISO/IEC information security management certified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.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Registered with MHRA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Cyber essentials accredited. Transparency reporting obligations. </w:t>
            </w:r>
          </w:p>
        </w:tc>
        <w:tc>
          <w:tcPr>
            <w:tcW w:w="2127" w:type="dxa"/>
            <w:vAlign w:val="center"/>
          </w:tcPr>
          <w:p w14:paraId="4031E981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Medtronic,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Elomia</w:t>
            </w:r>
            <w:proofErr w:type="spellEnd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, X2AI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、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DSA</w:t>
            </w:r>
          </w:p>
        </w:tc>
      </w:tr>
      <w:tr w:rsidR="00153A1E" w:rsidRPr="00A11142" w14:paraId="546A68A2" w14:textId="77777777" w:rsidTr="00C26530">
        <w:trPr>
          <w:trHeight w:val="611"/>
        </w:trPr>
        <w:tc>
          <w:tcPr>
            <w:tcW w:w="1418" w:type="dxa"/>
            <w:vMerge w:val="restart"/>
            <w:vAlign w:val="center"/>
          </w:tcPr>
          <w:p w14:paraId="53297A5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  <w:r w:rsidRPr="00A11142">
              <w:rPr>
                <w:color w:val="000000" w:themeColor="text1"/>
                <w:sz w:val="15"/>
                <w:szCs w:val="15"/>
              </w:rPr>
              <w:t>Policies, standards, and principles</w:t>
            </w:r>
          </w:p>
        </w:tc>
        <w:tc>
          <w:tcPr>
            <w:tcW w:w="1276" w:type="dxa"/>
            <w:vAlign w:val="center"/>
          </w:tcPr>
          <w:p w14:paraId="79473032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Unclear guidelines or principles</w:t>
            </w:r>
          </w:p>
        </w:tc>
        <w:tc>
          <w:tcPr>
            <w:tcW w:w="5244" w:type="dxa"/>
            <w:vAlign w:val="center"/>
          </w:tcPr>
          <w:p w14:paraId="3B10F124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Extract key ethical concepts from relevant ethical guidelines. Disclosure privacy policy. Classification rules for high-risk AI systems.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 systems and procedures for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data and data governance in AI systems.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Develop a safety assessment benchmark.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Market surveillance and control of AI systems.</w:t>
            </w:r>
          </w:p>
        </w:tc>
        <w:tc>
          <w:tcPr>
            <w:tcW w:w="2127" w:type="dxa"/>
            <w:vAlign w:val="center"/>
          </w:tcPr>
          <w:p w14:paraId="13FFB90A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Replika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CARESSES project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Elomia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Youper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GDPR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>EU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AI Act</w:t>
            </w:r>
          </w:p>
        </w:tc>
      </w:tr>
      <w:tr w:rsidR="00153A1E" w:rsidRPr="00A11142" w14:paraId="0226BB47" w14:textId="77777777" w:rsidTr="00C26530">
        <w:trPr>
          <w:trHeight w:val="46"/>
        </w:trPr>
        <w:tc>
          <w:tcPr>
            <w:tcW w:w="1418" w:type="dxa"/>
            <w:vMerge/>
            <w:vAlign w:val="center"/>
          </w:tcPr>
          <w:p w14:paraId="113CEAF1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690DDC1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Unresolved  legal and regulatory in data protection</w:t>
            </w:r>
          </w:p>
        </w:tc>
        <w:tc>
          <w:tcPr>
            <w:tcW w:w="5244" w:type="dxa"/>
            <w:vAlign w:val="center"/>
          </w:tcPr>
          <w:p w14:paraId="53C15591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Ensure data governance consistent with applicable law.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Follow data protection laws. Alignment to global information security standards. Are California Consumer Privacy Act (CCPA) and HIPAA compliant.</w:t>
            </w:r>
          </w:p>
        </w:tc>
        <w:tc>
          <w:tcPr>
            <w:tcW w:w="2127" w:type="dxa"/>
            <w:vAlign w:val="center"/>
          </w:tcPr>
          <w:p w14:paraId="3AFC7524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Elomia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Youper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Molly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X2AI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GDPR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DSA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>EU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AI Act</w:t>
            </w:r>
          </w:p>
        </w:tc>
      </w:tr>
      <w:tr w:rsidR="00153A1E" w:rsidRPr="00A11142" w14:paraId="2292FDCD" w14:textId="77777777" w:rsidTr="00C26530">
        <w:trPr>
          <w:trHeight w:val="46"/>
        </w:trPr>
        <w:tc>
          <w:tcPr>
            <w:tcW w:w="1418" w:type="dxa"/>
            <w:vMerge/>
            <w:vAlign w:val="center"/>
          </w:tcPr>
          <w:p w14:paraId="22EB3410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3439162B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Data format standards vary</w:t>
            </w:r>
          </w:p>
        </w:tc>
        <w:tc>
          <w:tcPr>
            <w:tcW w:w="5244" w:type="dxa"/>
            <w:vAlign w:val="center"/>
          </w:tcPr>
          <w:p w14:paraId="0D143DA0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Multimodal AI. Make heterogeneous hardware and software work together and share information.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Relevant data-preparation processing operations, such as annotation, labelling, cleaning, updating, </w:t>
            </w:r>
            <w:proofErr w:type="gram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enrichment</w:t>
            </w:r>
            <w:proofErr w:type="gramEnd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and aggregation.</w:t>
            </w:r>
          </w:p>
        </w:tc>
        <w:tc>
          <w:tcPr>
            <w:tcW w:w="2127" w:type="dxa"/>
            <w:vAlign w:val="center"/>
          </w:tcPr>
          <w:p w14:paraId="5C8CD9F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Medtronic, CARESSES project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>EU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AI Act</w:t>
            </w:r>
          </w:p>
        </w:tc>
      </w:tr>
      <w:tr w:rsidR="00153A1E" w:rsidRPr="00A11142" w14:paraId="6ADF4E20" w14:textId="77777777" w:rsidTr="00C26530">
        <w:trPr>
          <w:trHeight w:val="46"/>
        </w:trPr>
        <w:tc>
          <w:tcPr>
            <w:tcW w:w="1418" w:type="dxa"/>
            <w:vMerge/>
            <w:vAlign w:val="center"/>
          </w:tcPr>
          <w:p w14:paraId="7C1F5ADD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59EDD5BB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Lack of data collection standards</w:t>
            </w:r>
          </w:p>
        </w:tc>
        <w:tc>
          <w:tcPr>
            <w:tcW w:w="5244" w:type="dxa"/>
            <w:vAlign w:val="center"/>
          </w:tcPr>
          <w:p w14:paraId="142D541B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Collect 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data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as required by the governmental authorities. validation and testing data sets that meet the quality criteria. Set up systems and procedures for data collection.</w:t>
            </w:r>
          </w:p>
        </w:tc>
        <w:tc>
          <w:tcPr>
            <w:tcW w:w="2127" w:type="dxa"/>
            <w:vAlign w:val="center"/>
          </w:tcPr>
          <w:p w14:paraId="2A005C3D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Medtronic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Elomia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>EU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AI Act</w:t>
            </w:r>
          </w:p>
        </w:tc>
      </w:tr>
      <w:tr w:rsidR="00153A1E" w:rsidRPr="00A11142" w14:paraId="3E087E37" w14:textId="77777777" w:rsidTr="00C26530">
        <w:trPr>
          <w:trHeight w:val="46"/>
        </w:trPr>
        <w:tc>
          <w:tcPr>
            <w:tcW w:w="1418" w:type="dxa"/>
            <w:vMerge w:val="restart"/>
            <w:vAlign w:val="center"/>
          </w:tcPr>
          <w:p w14:paraId="13C503C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  <w:r w:rsidRPr="00A11142">
              <w:rPr>
                <w:color w:val="000000" w:themeColor="text1"/>
                <w:sz w:val="15"/>
                <w:szCs w:val="15"/>
              </w:rPr>
              <w:t>Technologies and facilities</w:t>
            </w:r>
          </w:p>
        </w:tc>
        <w:tc>
          <w:tcPr>
            <w:tcW w:w="1276" w:type="dxa"/>
            <w:vAlign w:val="center"/>
          </w:tcPr>
          <w:p w14:paraId="082EE7B3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Safety technical vulnerable</w:t>
            </w:r>
          </w:p>
        </w:tc>
        <w:tc>
          <w:tcPr>
            <w:tcW w:w="5244" w:type="dxa"/>
            <w:vAlign w:val="center"/>
          </w:tcPr>
          <w:p w14:paraId="0A7B81EA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Use a variety of industry-standard security technologies and procedures to protect data safety. Use established protocols in high-risk situations. Implement non-Gen AI guardrails to handle high-risk scenarios. Improve the systems technology safety over time.</w:t>
            </w:r>
          </w:p>
        </w:tc>
        <w:tc>
          <w:tcPr>
            <w:tcW w:w="2127" w:type="dxa"/>
            <w:vAlign w:val="center"/>
          </w:tcPr>
          <w:p w14:paraId="3F33B73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Replika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Youper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X2AI</w:t>
            </w:r>
          </w:p>
        </w:tc>
      </w:tr>
      <w:tr w:rsidR="00153A1E" w:rsidRPr="00A11142" w14:paraId="6E003A25" w14:textId="77777777" w:rsidTr="00C26530">
        <w:trPr>
          <w:trHeight w:val="186"/>
        </w:trPr>
        <w:tc>
          <w:tcPr>
            <w:tcW w:w="1418" w:type="dxa"/>
            <w:vMerge/>
            <w:vAlign w:val="center"/>
          </w:tcPr>
          <w:p w14:paraId="66DED786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0DFF1DD4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Limited data-processing technology</w:t>
            </w:r>
          </w:p>
        </w:tc>
        <w:tc>
          <w:tcPr>
            <w:tcW w:w="5244" w:type="dxa"/>
            <w:vAlign w:val="center"/>
          </w:tcPr>
          <w:p w14:paraId="0F2801F2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Data classification method enhance. Achieve data integration seamlessly among the heterogenous devices.</w:t>
            </w:r>
          </w:p>
        </w:tc>
        <w:tc>
          <w:tcPr>
            <w:tcW w:w="2127" w:type="dxa"/>
            <w:vAlign w:val="center"/>
          </w:tcPr>
          <w:p w14:paraId="0CDF4FAC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CARESSES project</w:t>
            </w:r>
          </w:p>
        </w:tc>
      </w:tr>
      <w:tr w:rsidR="00153A1E" w:rsidRPr="00A11142" w14:paraId="26AA9C81" w14:textId="77777777" w:rsidTr="00C26530">
        <w:trPr>
          <w:trHeight w:val="186"/>
        </w:trPr>
        <w:tc>
          <w:tcPr>
            <w:tcW w:w="1418" w:type="dxa"/>
            <w:vMerge/>
            <w:vAlign w:val="center"/>
          </w:tcPr>
          <w:p w14:paraId="19C39448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7F1C44ED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Data pipeline incompatibility</w:t>
            </w:r>
          </w:p>
        </w:tc>
        <w:tc>
          <w:tcPr>
            <w:tcW w:w="5244" w:type="dxa"/>
            <w:vAlign w:val="center"/>
          </w:tcPr>
          <w:p w14:paraId="7A8D2FD4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Make hardware and software transfer data in a seamless, robust way.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Improve the data semantic interoperability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.</w:t>
            </w:r>
          </w:p>
        </w:tc>
        <w:tc>
          <w:tcPr>
            <w:tcW w:w="2127" w:type="dxa"/>
            <w:vAlign w:val="center"/>
          </w:tcPr>
          <w:p w14:paraId="1570E26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CARESSES project</w:t>
            </w:r>
          </w:p>
        </w:tc>
      </w:tr>
      <w:tr w:rsidR="00153A1E" w:rsidRPr="00A11142" w14:paraId="02534778" w14:textId="77777777" w:rsidTr="00C26530">
        <w:trPr>
          <w:trHeight w:val="186"/>
        </w:trPr>
        <w:tc>
          <w:tcPr>
            <w:tcW w:w="1418" w:type="dxa"/>
            <w:vMerge/>
            <w:vAlign w:val="center"/>
          </w:tcPr>
          <w:p w14:paraId="7A42C9D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6F463A2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Poor AI models quality</w:t>
            </w:r>
          </w:p>
        </w:tc>
        <w:tc>
          <w:tcPr>
            <w:tcW w:w="5244" w:type="dxa"/>
            <w:vAlign w:val="center"/>
          </w:tcPr>
          <w:p w14:paraId="743216E0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Use Quality Assessment of Diagnostic Accuracy Studies (QUADAS) AI frameworks to evaluate a model’s risk of bias.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External validation. Train AI model on customized user data.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Continuous performance improvement based on data.</w:t>
            </w:r>
          </w:p>
        </w:tc>
        <w:tc>
          <w:tcPr>
            <w:tcW w:w="2127" w:type="dxa"/>
            <w:vAlign w:val="center"/>
          </w:tcPr>
          <w:p w14:paraId="40A48370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Medtronic, CARESSES project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WisCompanion</w:t>
            </w:r>
            <w:proofErr w:type="spellEnd"/>
          </w:p>
        </w:tc>
      </w:tr>
      <w:tr w:rsidR="00153A1E" w:rsidRPr="00A11142" w14:paraId="5C26F404" w14:textId="77777777" w:rsidTr="00C26530">
        <w:trPr>
          <w:trHeight w:val="186"/>
        </w:trPr>
        <w:tc>
          <w:tcPr>
            <w:tcW w:w="1418" w:type="dxa"/>
            <w:vMerge w:val="restart"/>
            <w:vAlign w:val="center"/>
          </w:tcPr>
          <w:p w14:paraId="4FE969A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  <w:r w:rsidRPr="00A11142">
              <w:rPr>
                <w:color w:val="000000" w:themeColor="text1"/>
                <w:sz w:val="15"/>
                <w:szCs w:val="15"/>
              </w:rPr>
              <w:t>Data lifecycle measures</w:t>
            </w:r>
          </w:p>
        </w:tc>
        <w:tc>
          <w:tcPr>
            <w:tcW w:w="1276" w:type="dxa"/>
            <w:vAlign w:val="center"/>
          </w:tcPr>
          <w:p w14:paraId="4887528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Limited access to collect data</w:t>
            </w:r>
          </w:p>
        </w:tc>
        <w:tc>
          <w:tcPr>
            <w:tcW w:w="5244" w:type="dxa"/>
            <w:vAlign w:val="center"/>
          </w:tcPr>
          <w:p w14:paraId="0A762FF5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Propose a data augmentation method to increase the training data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.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Use  of minimal data for improving algorithms.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Open-sourcing a dataset.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Obtain data from multiple sources.</w:t>
            </w:r>
          </w:p>
        </w:tc>
        <w:tc>
          <w:tcPr>
            <w:tcW w:w="2127" w:type="dxa"/>
            <w:vAlign w:val="center"/>
          </w:tcPr>
          <w:p w14:paraId="731A89D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CARESSES project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Molly</w:t>
            </w:r>
          </w:p>
        </w:tc>
      </w:tr>
      <w:tr w:rsidR="00153A1E" w:rsidRPr="00A11142" w14:paraId="7F44EA1C" w14:textId="77777777" w:rsidTr="00C26530">
        <w:trPr>
          <w:trHeight w:val="186"/>
        </w:trPr>
        <w:tc>
          <w:tcPr>
            <w:tcW w:w="1418" w:type="dxa"/>
            <w:vMerge/>
            <w:vAlign w:val="center"/>
          </w:tcPr>
          <w:p w14:paraId="5D6C217B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184D5855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Difficulty in integrating data</w:t>
            </w:r>
          </w:p>
        </w:tc>
        <w:tc>
          <w:tcPr>
            <w:tcW w:w="5244" w:type="dxa"/>
            <w:vAlign w:val="center"/>
          </w:tcPr>
          <w:p w14:paraId="6A4276E3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Study technology to make heterogeneous data in a seamless, robust way.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Integrat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e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all types of device data using open platforms like the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uAAL</w:t>
            </w:r>
            <w:proofErr w:type="spellEnd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.</w:t>
            </w:r>
          </w:p>
        </w:tc>
        <w:tc>
          <w:tcPr>
            <w:tcW w:w="2127" w:type="dxa"/>
            <w:vAlign w:val="center"/>
          </w:tcPr>
          <w:p w14:paraId="12D7E3A5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CARESSES project</w:t>
            </w:r>
          </w:p>
        </w:tc>
      </w:tr>
      <w:tr w:rsidR="00153A1E" w:rsidRPr="00A11142" w14:paraId="38907D5C" w14:textId="77777777" w:rsidTr="00C26530">
        <w:trPr>
          <w:trHeight w:val="186"/>
        </w:trPr>
        <w:tc>
          <w:tcPr>
            <w:tcW w:w="1418" w:type="dxa"/>
            <w:vMerge/>
            <w:vAlign w:val="center"/>
          </w:tcPr>
          <w:p w14:paraId="11D624B8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5F4B53B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Poor data quality</w:t>
            </w:r>
          </w:p>
        </w:tc>
        <w:tc>
          <w:tcPr>
            <w:tcW w:w="5244" w:type="dxa"/>
            <w:vAlign w:val="center"/>
          </w:tcPr>
          <w:p w14:paraId="67D7D8D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Assure subject has access to inspect and correct the data.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Improve data cleaning, annotation, validation, and augmentation effective curation.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Propose a data augmentation method.</w:t>
            </w:r>
          </w:p>
        </w:tc>
        <w:tc>
          <w:tcPr>
            <w:tcW w:w="2127" w:type="dxa"/>
            <w:vAlign w:val="center"/>
          </w:tcPr>
          <w:p w14:paraId="5EA69AE0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Medtronic, CARESSES project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WisCompanion</w:t>
            </w:r>
            <w:proofErr w:type="spellEnd"/>
          </w:p>
        </w:tc>
      </w:tr>
      <w:tr w:rsidR="00153A1E" w:rsidRPr="00A11142" w14:paraId="6536C3C9" w14:textId="77777777" w:rsidTr="00C26530">
        <w:trPr>
          <w:trHeight w:val="640"/>
        </w:trPr>
        <w:tc>
          <w:tcPr>
            <w:tcW w:w="1418" w:type="dxa"/>
            <w:vMerge/>
            <w:vAlign w:val="center"/>
          </w:tcPr>
          <w:p w14:paraId="1A26012D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3F07CB2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Lack of  transparency</w:t>
            </w:r>
          </w:p>
        </w:tc>
        <w:tc>
          <w:tcPr>
            <w:tcW w:w="5244" w:type="dxa"/>
            <w:vAlign w:val="center"/>
          </w:tcPr>
          <w:p w14:paraId="29096CAA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Notification of third-party use of user data. Collect personal data with specific purpose and intent. Upfront about who can see which personal data and why. Transparency and provision of information to deployers.</w:t>
            </w:r>
          </w:p>
        </w:tc>
        <w:tc>
          <w:tcPr>
            <w:tcW w:w="2127" w:type="dxa"/>
            <w:vAlign w:val="center"/>
          </w:tcPr>
          <w:p w14:paraId="699A72E6" w14:textId="77777777" w:rsidR="00153A1E" w:rsidRPr="00A11142" w:rsidRDefault="00153A1E" w:rsidP="00C26530">
            <w:pPr>
              <w:adjustRightInd w:val="0"/>
              <w:snapToGrid w:val="0"/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</w:pPr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Medtronic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Elomia</w:t>
            </w:r>
            <w:proofErr w:type="spellEnd"/>
            <w:r w:rsidRPr="00A11142">
              <w:rPr>
                <w:rFonts w:hint="eastAsia"/>
                <w:color w:val="000000" w:themeColor="text1"/>
                <w:sz w:val="15"/>
                <w:szCs w:val="15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Wysa</w:t>
            </w:r>
            <w:proofErr w:type="spellEnd"/>
            <w:r w:rsidRPr="00A11142">
              <w:rPr>
                <w:color w:val="000000" w:themeColor="text1"/>
                <w:sz w:val="15"/>
                <w:szCs w:val="15"/>
              </w:rPr>
              <w:t xml:space="preserve">, </w:t>
            </w:r>
            <w:proofErr w:type="spellStart"/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Youper</w:t>
            </w:r>
            <w:proofErr w:type="spellEnd"/>
            <w:r w:rsidRPr="00A11142">
              <w:rPr>
                <w:color w:val="000000" w:themeColor="text1"/>
                <w:sz w:val="15"/>
                <w:szCs w:val="15"/>
              </w:rPr>
              <w:t xml:space="preserve">, </w:t>
            </w:r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Molly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 </w:t>
            </w:r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HIPAA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 </w:t>
            </w:r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GDPR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, </w:t>
            </w: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  <w:t>DSA</w:t>
            </w:r>
            <w:r w:rsidRPr="00A11142"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  <w:t>, EU</w:t>
            </w: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  <w:t xml:space="preserve"> AI Act</w:t>
            </w:r>
          </w:p>
        </w:tc>
      </w:tr>
      <w:tr w:rsidR="00153A1E" w:rsidRPr="00A11142" w14:paraId="74C0AF3D" w14:textId="77777777" w:rsidTr="00C26530">
        <w:trPr>
          <w:trHeight w:val="132"/>
        </w:trPr>
        <w:tc>
          <w:tcPr>
            <w:tcW w:w="1418" w:type="dxa"/>
            <w:vMerge/>
            <w:vAlign w:val="center"/>
          </w:tcPr>
          <w:p w14:paraId="0101D4E2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3E5093EE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Data sharing barriers</w:t>
            </w:r>
          </w:p>
        </w:tc>
        <w:tc>
          <w:tcPr>
            <w:tcW w:w="5244" w:type="dxa"/>
            <w:vAlign w:val="center"/>
          </w:tcPr>
          <w:p w14:paraId="3447E34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Standardi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s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</w:t>
            </w:r>
            <w:proofErr w:type="spellEnd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data transmission. Require open sharing of data.</w:t>
            </w:r>
          </w:p>
        </w:tc>
        <w:tc>
          <w:tcPr>
            <w:tcW w:w="2127" w:type="dxa"/>
            <w:vAlign w:val="center"/>
          </w:tcPr>
          <w:p w14:paraId="44E733F2" w14:textId="77777777" w:rsidR="00153A1E" w:rsidRPr="00A11142" w:rsidRDefault="00153A1E" w:rsidP="00C26530">
            <w:pPr>
              <w:adjustRightInd w:val="0"/>
              <w:snapToGrid w:val="0"/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</w:pP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  <w:t>CARESSES project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</w:rPr>
              <w:t>、</w:t>
            </w: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  <w:t>HIPAA</w:t>
            </w:r>
          </w:p>
        </w:tc>
      </w:tr>
      <w:tr w:rsidR="00153A1E" w:rsidRPr="00A11142" w14:paraId="07656EFE" w14:textId="77777777" w:rsidTr="00C26530">
        <w:trPr>
          <w:trHeight w:val="186"/>
        </w:trPr>
        <w:tc>
          <w:tcPr>
            <w:tcW w:w="1418" w:type="dxa"/>
            <w:vMerge/>
            <w:vAlign w:val="center"/>
          </w:tcPr>
          <w:p w14:paraId="1F0FBFAF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3A394E41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Incomplete data</w:t>
            </w:r>
          </w:p>
        </w:tc>
        <w:tc>
          <w:tcPr>
            <w:tcW w:w="5244" w:type="dxa"/>
            <w:vAlign w:val="center"/>
          </w:tcPr>
          <w:p w14:paraId="437BD780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Allow users to complement and correct data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.</w:t>
            </w:r>
          </w:p>
        </w:tc>
        <w:tc>
          <w:tcPr>
            <w:tcW w:w="2127" w:type="dxa"/>
            <w:vAlign w:val="center"/>
          </w:tcPr>
          <w:p w14:paraId="010712B6" w14:textId="77777777" w:rsidR="00153A1E" w:rsidRPr="00A11142" w:rsidRDefault="00153A1E" w:rsidP="00C26530">
            <w:pPr>
              <w:adjustRightInd w:val="0"/>
              <w:snapToGrid w:val="0"/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</w:pPr>
            <w:proofErr w:type="spellStart"/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  <w:t>Elomia</w:t>
            </w:r>
            <w:proofErr w:type="spellEnd"/>
            <w:r w:rsidRPr="00A11142">
              <w:rPr>
                <w:rFonts w:hint="eastAsia"/>
                <w:color w:val="000000" w:themeColor="text1"/>
                <w:sz w:val="15"/>
                <w:szCs w:val="15"/>
              </w:rPr>
              <w:t>、</w:t>
            </w: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  <w:t>HIPAA</w:t>
            </w:r>
          </w:p>
        </w:tc>
      </w:tr>
      <w:tr w:rsidR="00153A1E" w:rsidRPr="00A11142" w14:paraId="098F6BA3" w14:textId="77777777" w:rsidTr="00C26530">
        <w:trPr>
          <w:trHeight w:val="186"/>
        </w:trPr>
        <w:tc>
          <w:tcPr>
            <w:tcW w:w="1418" w:type="dxa"/>
            <w:vMerge/>
            <w:vAlign w:val="center"/>
          </w:tcPr>
          <w:p w14:paraId="595FB375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477462C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Data misuse</w:t>
            </w:r>
          </w:p>
        </w:tc>
        <w:tc>
          <w:tcPr>
            <w:tcW w:w="5244" w:type="dxa"/>
            <w:vAlign w:val="center"/>
          </w:tcPr>
          <w:p w14:paraId="56FEA1EB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Employees are permitted to access and use only the data they need to perform their job duties. No personal user data is shared with third parties.</w:t>
            </w:r>
          </w:p>
        </w:tc>
        <w:tc>
          <w:tcPr>
            <w:tcW w:w="2127" w:type="dxa"/>
            <w:vAlign w:val="center"/>
          </w:tcPr>
          <w:p w14:paraId="0196999A" w14:textId="77777777" w:rsidR="00153A1E" w:rsidRPr="00A11142" w:rsidRDefault="00153A1E" w:rsidP="00C26530">
            <w:pPr>
              <w:adjustRightInd w:val="0"/>
              <w:snapToGrid w:val="0"/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</w:pPr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Medtronic</w:t>
            </w:r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  <w:t xml:space="preserve">, </w:t>
            </w:r>
            <w:proofErr w:type="spellStart"/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Replika</w:t>
            </w:r>
            <w:proofErr w:type="spellEnd"/>
            <w:r w:rsidRPr="00A11142">
              <w:rPr>
                <w:rFonts w:ascii="Times New Roman" w:eastAsia="Times New Roman" w:hAnsi="Times New Roman" w:cs="Times New Roman"/>
                <w:color w:val="000000" w:themeColor="text1"/>
                <w:sz w:val="15"/>
                <w:szCs w:val="15"/>
              </w:rPr>
              <w:t xml:space="preserve">, </w:t>
            </w:r>
            <w:proofErr w:type="spellStart"/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Elomia</w:t>
            </w:r>
            <w:proofErr w:type="spellEnd"/>
            <w:r w:rsidRPr="00A11142">
              <w:rPr>
                <w:rFonts w:hint="eastAsia"/>
                <w:color w:val="000000" w:themeColor="text1"/>
                <w:sz w:val="15"/>
                <w:szCs w:val="15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Wysa</w:t>
            </w:r>
            <w:proofErr w:type="spellEnd"/>
            <w:r w:rsidRPr="00A11142">
              <w:rPr>
                <w:rFonts w:hint="eastAsia"/>
                <w:color w:val="000000" w:themeColor="text1"/>
                <w:sz w:val="15"/>
                <w:szCs w:val="15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Youper</w:t>
            </w:r>
            <w:proofErr w:type="spellEnd"/>
            <w:r w:rsidRPr="00A11142">
              <w:rPr>
                <w:rFonts w:hint="eastAsia"/>
                <w:color w:val="000000" w:themeColor="text1"/>
                <w:sz w:val="15"/>
                <w:szCs w:val="15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 </w:t>
            </w:r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>HIPAA</w:t>
            </w:r>
            <w:r w:rsidRPr="00A11142">
              <w:rPr>
                <w:color w:val="000000" w:themeColor="text1"/>
                <w:sz w:val="15"/>
                <w:szCs w:val="15"/>
              </w:rPr>
              <w:t xml:space="preserve">, </w:t>
            </w:r>
            <w:r w:rsidRPr="00A11142">
              <w:rPr>
                <w:rFonts w:ascii="Times New Roman" w:eastAsia="Times New Roman" w:hAnsi="Times New Roman" w:cs="Times New Roman" w:hint="eastAsia"/>
                <w:color w:val="000000" w:themeColor="text1"/>
                <w:sz w:val="15"/>
                <w:szCs w:val="15"/>
              </w:rPr>
              <w:t xml:space="preserve">GDPR </w:t>
            </w:r>
          </w:p>
        </w:tc>
      </w:tr>
      <w:tr w:rsidR="00153A1E" w:rsidRPr="00A11142" w14:paraId="2891C52D" w14:textId="77777777" w:rsidTr="00C26530">
        <w:trPr>
          <w:trHeight w:val="785"/>
        </w:trPr>
        <w:tc>
          <w:tcPr>
            <w:tcW w:w="1418" w:type="dxa"/>
            <w:vMerge/>
            <w:vAlign w:val="center"/>
          </w:tcPr>
          <w:p w14:paraId="5E20F2A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3109DCFA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Non-compliance</w:t>
            </w:r>
          </w:p>
        </w:tc>
        <w:tc>
          <w:tcPr>
            <w:tcW w:w="5244" w:type="dxa"/>
            <w:vAlign w:val="center"/>
          </w:tcPr>
          <w:p w14:paraId="626F3EFB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Respect users' preference to disclose health data. Store data in a HIPAA-compliant way.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Security is top priority.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Never sell or share personal data.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Ensure the data used aligns with ethical standards, stipulating privacy regulations such as HIPAA and GDPR. Receive compliance reviews.</w:t>
            </w:r>
          </w:p>
        </w:tc>
        <w:tc>
          <w:tcPr>
            <w:tcW w:w="2127" w:type="dxa"/>
            <w:vAlign w:val="center"/>
          </w:tcPr>
          <w:p w14:paraId="60D00D0E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Medtronic,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Replika</w:t>
            </w:r>
            <w:proofErr w:type="spellEnd"/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CARESSES project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Elomia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WisCompanion</w:t>
            </w:r>
            <w:proofErr w:type="spellEnd"/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Youper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Molly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X2AI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HIPAA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GDPR</w:t>
            </w:r>
          </w:p>
        </w:tc>
      </w:tr>
      <w:tr w:rsidR="00153A1E" w:rsidRPr="00A11142" w14:paraId="19BB12AB" w14:textId="77777777" w:rsidTr="00C26530">
        <w:trPr>
          <w:trHeight w:val="186"/>
        </w:trPr>
        <w:tc>
          <w:tcPr>
            <w:tcW w:w="1418" w:type="dxa"/>
            <w:vMerge w:val="restart"/>
            <w:vAlign w:val="center"/>
          </w:tcPr>
          <w:p w14:paraId="7B46292F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  <w:r w:rsidRPr="00A11142">
              <w:rPr>
                <w:color w:val="000000" w:themeColor="text1"/>
                <w:sz w:val="15"/>
                <w:szCs w:val="15"/>
              </w:rPr>
              <w:t>Data rights protection</w:t>
            </w:r>
          </w:p>
        </w:tc>
        <w:tc>
          <w:tcPr>
            <w:tcW w:w="1276" w:type="dxa"/>
            <w:vAlign w:val="center"/>
          </w:tcPr>
          <w:p w14:paraId="4DA6E81C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No respect for autonomy</w:t>
            </w:r>
          </w:p>
        </w:tc>
        <w:tc>
          <w:tcPr>
            <w:tcW w:w="5244" w:type="dxa"/>
            <w:vAlign w:val="center"/>
          </w:tcPr>
          <w:p w14:paraId="172353B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Respect users' preference to process health data. D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evelop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privacy policy. Users have control over their data and can choose to participate or withdraw from Gen AI interactions.</w:t>
            </w:r>
          </w:p>
        </w:tc>
        <w:tc>
          <w:tcPr>
            <w:tcW w:w="2127" w:type="dxa"/>
            <w:vAlign w:val="center"/>
          </w:tcPr>
          <w:p w14:paraId="414F494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Medtronic,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Replika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Elomia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Molly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X2AI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HIPAA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GDPR</w:t>
            </w:r>
          </w:p>
        </w:tc>
      </w:tr>
      <w:tr w:rsidR="00153A1E" w:rsidRPr="00A11142" w14:paraId="77044B08" w14:textId="77777777" w:rsidTr="00C26530">
        <w:trPr>
          <w:trHeight w:val="186"/>
        </w:trPr>
        <w:tc>
          <w:tcPr>
            <w:tcW w:w="1418" w:type="dxa"/>
            <w:vMerge/>
            <w:vAlign w:val="center"/>
          </w:tcPr>
          <w:p w14:paraId="38C7F6D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6A55BCAB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Not informing users</w:t>
            </w:r>
          </w:p>
        </w:tc>
        <w:tc>
          <w:tcPr>
            <w:tcW w:w="5244" w:type="dxa"/>
            <w:vAlign w:val="center"/>
          </w:tcPr>
          <w:p w14:paraId="7633E42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Notification of third-party use of user data. Inform users of the type and purpose of data collection. Explicit consent with opt-in/opt-out. Additional clarity on changes to privacy policy.</w:t>
            </w:r>
          </w:p>
        </w:tc>
        <w:tc>
          <w:tcPr>
            <w:tcW w:w="2127" w:type="dxa"/>
            <w:vAlign w:val="center"/>
          </w:tcPr>
          <w:p w14:paraId="3FC4ABEC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Medtronic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Replika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Molly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X2AI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HIPAA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GDPR</w:t>
            </w:r>
          </w:p>
        </w:tc>
      </w:tr>
      <w:tr w:rsidR="00153A1E" w:rsidRPr="00A11142" w14:paraId="47A03965" w14:textId="77777777" w:rsidTr="00C26530">
        <w:trPr>
          <w:trHeight w:val="241"/>
        </w:trPr>
        <w:tc>
          <w:tcPr>
            <w:tcW w:w="1418" w:type="dxa"/>
            <w:vMerge/>
            <w:vAlign w:val="center"/>
          </w:tcPr>
          <w:p w14:paraId="7ABF6AFD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1C785A22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Unrestricted  data authorization</w:t>
            </w:r>
          </w:p>
        </w:tc>
        <w:tc>
          <w:tcPr>
            <w:tcW w:w="5244" w:type="dxa"/>
            <w:vAlign w:val="center"/>
          </w:tcPr>
          <w:p w14:paraId="50268552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Penalties for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unauthori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s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ed</w:t>
            </w:r>
            <w:proofErr w:type="spellEnd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use of data. Set up complaint channels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.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Never sell or share personal data. Use a PIN lock that restricts access to data.</w:t>
            </w:r>
          </w:p>
        </w:tc>
        <w:tc>
          <w:tcPr>
            <w:tcW w:w="2127" w:type="dxa"/>
            <w:vAlign w:val="center"/>
          </w:tcPr>
          <w:p w14:paraId="70D572C1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Medtronic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HIPAA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GDPR</w:t>
            </w:r>
          </w:p>
        </w:tc>
      </w:tr>
      <w:tr w:rsidR="00153A1E" w:rsidRPr="00A11142" w14:paraId="04AD4F7B" w14:textId="77777777" w:rsidTr="00C26530">
        <w:trPr>
          <w:trHeight w:val="86"/>
        </w:trPr>
        <w:tc>
          <w:tcPr>
            <w:tcW w:w="1418" w:type="dxa"/>
            <w:vMerge/>
            <w:vAlign w:val="center"/>
          </w:tcPr>
          <w:p w14:paraId="68C6A51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27B8558C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Fail to safeguard privacy data</w:t>
            </w:r>
          </w:p>
        </w:tc>
        <w:tc>
          <w:tcPr>
            <w:tcW w:w="5244" w:type="dxa"/>
            <w:vAlign w:val="center"/>
          </w:tcPr>
          <w:p w14:paraId="65B6AECE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Maintain physical, </w:t>
            </w:r>
            <w:proofErr w:type="gram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technical</w:t>
            </w:r>
            <w:proofErr w:type="gramEnd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and administrative security standards and procedures to safeguard data and systems. Confidentially, according to applicable laws. Decrypt data by AI engine. Use a variety of industry-standard security technologies and procedures. Remove any identifiers from data. Minimal data shared with third parties. Secure data deletion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.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use strong encryption to protect data when it is being sent or stored.</w:t>
            </w:r>
          </w:p>
        </w:tc>
        <w:tc>
          <w:tcPr>
            <w:tcW w:w="2127" w:type="dxa"/>
            <w:vAlign w:val="center"/>
          </w:tcPr>
          <w:p w14:paraId="2C5CF19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Medtronic,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Replika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Elomia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Youper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Molly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X2AI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,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HIPAA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GDPR</w:t>
            </w:r>
          </w:p>
        </w:tc>
      </w:tr>
      <w:tr w:rsidR="00153A1E" w:rsidRPr="00A11142" w14:paraId="1EDD2D2B" w14:textId="77777777" w:rsidTr="00C26530">
        <w:trPr>
          <w:trHeight w:val="241"/>
        </w:trPr>
        <w:tc>
          <w:tcPr>
            <w:tcW w:w="1418" w:type="dxa"/>
            <w:vMerge/>
            <w:vAlign w:val="center"/>
          </w:tcPr>
          <w:p w14:paraId="07CECD72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  <w:lang w:eastAsia="zh-CN"/>
              </w:rPr>
            </w:pPr>
          </w:p>
        </w:tc>
        <w:tc>
          <w:tcPr>
            <w:tcW w:w="1276" w:type="dxa"/>
            <w:vAlign w:val="center"/>
          </w:tcPr>
          <w:p w14:paraId="23AC44E4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Uncertainty of data ownership</w:t>
            </w:r>
          </w:p>
        </w:tc>
        <w:tc>
          <w:tcPr>
            <w:tcW w:w="5244" w:type="dxa"/>
            <w:vAlign w:val="center"/>
          </w:tcPr>
          <w:p w14:paraId="22DB9454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Determine and adapt in accordance with territorial legislation. Clarify the content and scope of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authori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s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ed</w:t>
            </w:r>
            <w:proofErr w:type="spellEnd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data.</w:t>
            </w:r>
          </w:p>
        </w:tc>
        <w:tc>
          <w:tcPr>
            <w:tcW w:w="2127" w:type="dxa"/>
            <w:vAlign w:val="center"/>
          </w:tcPr>
          <w:p w14:paraId="5CD62884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Elomia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Youper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Molly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X2AI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HIPAA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GDPR</w:t>
            </w:r>
          </w:p>
        </w:tc>
      </w:tr>
      <w:tr w:rsidR="00153A1E" w:rsidRPr="00A11142" w14:paraId="07C07CBB" w14:textId="77777777" w:rsidTr="00C26530">
        <w:trPr>
          <w:trHeight w:val="241"/>
        </w:trPr>
        <w:tc>
          <w:tcPr>
            <w:tcW w:w="1418" w:type="dxa"/>
            <w:vMerge w:val="restart"/>
            <w:vAlign w:val="center"/>
          </w:tcPr>
          <w:p w14:paraId="261A7C9A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Data risk management</w:t>
            </w:r>
          </w:p>
        </w:tc>
        <w:tc>
          <w:tcPr>
            <w:tcW w:w="1276" w:type="dxa"/>
            <w:vAlign w:val="center"/>
          </w:tcPr>
          <w:p w14:paraId="612AD957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Lack of risk awareness</w:t>
            </w:r>
          </w:p>
        </w:tc>
        <w:tc>
          <w:tcPr>
            <w:tcW w:w="5244" w:type="dxa"/>
            <w:vAlign w:val="center"/>
          </w:tcPr>
          <w:p w14:paraId="43E0BDB1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Publish comprehensive risk report. Join the AI for mental health safety initiative.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Alerts of systemic risks by the scientific panel. Provide risk assessment platform.</w:t>
            </w:r>
          </w:p>
        </w:tc>
        <w:tc>
          <w:tcPr>
            <w:tcW w:w="2127" w:type="dxa"/>
            <w:vAlign w:val="center"/>
          </w:tcPr>
          <w:p w14:paraId="1FD9F60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Youper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>EU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AI Act</w:t>
            </w:r>
          </w:p>
        </w:tc>
      </w:tr>
      <w:tr w:rsidR="00153A1E" w:rsidRPr="00A11142" w14:paraId="33DA2F44" w14:textId="77777777" w:rsidTr="00C26530">
        <w:trPr>
          <w:trHeight w:val="241"/>
        </w:trPr>
        <w:tc>
          <w:tcPr>
            <w:tcW w:w="1418" w:type="dxa"/>
            <w:vMerge/>
            <w:vAlign w:val="center"/>
          </w:tcPr>
          <w:p w14:paraId="7E7DD404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</w:p>
        </w:tc>
        <w:tc>
          <w:tcPr>
            <w:tcW w:w="1276" w:type="dxa"/>
            <w:vAlign w:val="center"/>
          </w:tcPr>
          <w:p w14:paraId="3C3BA599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Lack of real-time risks monitoring</w:t>
            </w:r>
          </w:p>
        </w:tc>
        <w:tc>
          <w:tcPr>
            <w:tcW w:w="5244" w:type="dxa"/>
            <w:vAlign w:val="center"/>
          </w:tcPr>
          <w:p w14:paraId="574CBA12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Rganic</w:t>
            </w:r>
            <w:proofErr w:type="spellEnd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combination of regular assessment and screening and daily dynamic monitoring. Call for multi-party involvement in risk assessment. Regularly risks test. External expert assessment. A key element of clinical safety to test. Data protection impact assessment. Establish an audit report. Build risk management system.</w:t>
            </w:r>
          </w:p>
        </w:tc>
        <w:tc>
          <w:tcPr>
            <w:tcW w:w="2127" w:type="dxa"/>
            <w:vAlign w:val="center"/>
          </w:tcPr>
          <w:p w14:paraId="358B1610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Emohaa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Youper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GDPR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DSA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>EU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AI Act</w:t>
            </w:r>
          </w:p>
        </w:tc>
      </w:tr>
      <w:tr w:rsidR="00153A1E" w:rsidRPr="00A11142" w14:paraId="257D7E93" w14:textId="77777777" w:rsidTr="00C26530">
        <w:trPr>
          <w:trHeight w:val="173"/>
        </w:trPr>
        <w:tc>
          <w:tcPr>
            <w:tcW w:w="1418" w:type="dxa"/>
            <w:vMerge/>
            <w:vAlign w:val="center"/>
          </w:tcPr>
          <w:p w14:paraId="54541A2B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</w:p>
        </w:tc>
        <w:tc>
          <w:tcPr>
            <w:tcW w:w="1276" w:type="dxa"/>
            <w:vAlign w:val="center"/>
          </w:tcPr>
          <w:p w14:paraId="397CD4FD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Lack of solution experience</w:t>
            </w:r>
          </w:p>
        </w:tc>
        <w:tc>
          <w:tcPr>
            <w:tcW w:w="5244" w:type="dxa"/>
            <w:vAlign w:val="center"/>
          </w:tcPr>
          <w:p w14:paraId="0503C0EF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Interdisciplinary expert seminar</w:t>
            </w:r>
            <w:r w:rsidRPr="00A11142">
              <w:rPr>
                <w:rFonts w:hint="eastAsia"/>
                <w:color w:val="000000" w:themeColor="text1"/>
                <w:sz w:val="15"/>
                <w:szCs w:val="15"/>
                <w:lang w:eastAsia="zh-CN"/>
              </w:rPr>
              <w:t>.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Limit AI use based on framework. develop safety assessment benchmark for different scenarios. the recording of events relevant for risk. AI regulatory sandboxes.</w:t>
            </w:r>
          </w:p>
        </w:tc>
        <w:tc>
          <w:tcPr>
            <w:tcW w:w="2127" w:type="dxa"/>
            <w:vAlign w:val="center"/>
          </w:tcPr>
          <w:p w14:paraId="7C0D4E30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CARESSES project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Youper</w:t>
            </w:r>
            <w:proofErr w:type="spellEnd"/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rFonts w:ascii="宋体" w:eastAsia="宋体" w:hAnsi="宋体" w:cs="宋体"/>
                <w:color w:val="000000" w:themeColor="text1"/>
                <w:sz w:val="15"/>
                <w:szCs w:val="15"/>
                <w:lang w:eastAsia="zh-CN"/>
              </w:rPr>
              <w:t xml:space="preserve"> </w:t>
            </w:r>
            <w:r w:rsidRPr="00A11142">
              <w:rPr>
                <w:rFonts w:eastAsia="宋体"/>
                <w:color w:val="000000" w:themeColor="text1"/>
                <w:sz w:val="15"/>
                <w:szCs w:val="15"/>
                <w:lang w:eastAsia="zh-CN"/>
              </w:rPr>
              <w:t>EU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 xml:space="preserve"> AI Act</w:t>
            </w:r>
          </w:p>
        </w:tc>
      </w:tr>
      <w:tr w:rsidR="00153A1E" w:rsidRPr="00A11142" w14:paraId="6C9306E4" w14:textId="77777777" w:rsidTr="00C26530">
        <w:trPr>
          <w:trHeight w:val="241"/>
        </w:trPr>
        <w:tc>
          <w:tcPr>
            <w:tcW w:w="1418" w:type="dxa"/>
            <w:vMerge/>
            <w:vAlign w:val="center"/>
          </w:tcPr>
          <w:p w14:paraId="5A6DA00C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</w:p>
        </w:tc>
        <w:tc>
          <w:tcPr>
            <w:tcW w:w="1276" w:type="dxa"/>
            <w:vAlign w:val="center"/>
          </w:tcPr>
          <w:p w14:paraId="3AA1D39C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No plan made</w:t>
            </w:r>
          </w:p>
        </w:tc>
        <w:tc>
          <w:tcPr>
            <w:tcW w:w="5244" w:type="dxa"/>
            <w:vAlign w:val="center"/>
          </w:tcPr>
          <w:p w14:paraId="6D3FED0C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Make sure following safety plans and rules.</w:t>
            </w:r>
            <w:r w:rsidRPr="00A11142">
              <w:rPr>
                <w:color w:val="000000" w:themeColor="text1"/>
              </w:rPr>
              <w:t xml:space="preserve"> 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Risks response mechanism. Risks protocols.</w:t>
            </w:r>
          </w:p>
        </w:tc>
        <w:tc>
          <w:tcPr>
            <w:tcW w:w="2127" w:type="dxa"/>
            <w:vAlign w:val="center"/>
          </w:tcPr>
          <w:p w14:paraId="4875DC58" w14:textId="77777777" w:rsidR="00153A1E" w:rsidRPr="00A11142" w:rsidRDefault="00153A1E" w:rsidP="00C26530">
            <w:pPr>
              <w:pStyle w:val="Tabletext"/>
              <w:adjustRightInd w:val="0"/>
              <w:snapToGrid w:val="0"/>
              <w:spacing w:after="0"/>
              <w:jc w:val="both"/>
              <w:rPr>
                <w:color w:val="000000" w:themeColor="text1"/>
                <w:sz w:val="15"/>
                <w:szCs w:val="15"/>
                <w:lang w:eastAsia="zh-CN"/>
              </w:rPr>
            </w:pPr>
            <w:proofErr w:type="spellStart"/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Wysa</w:t>
            </w:r>
            <w:r w:rsidRPr="00A11142">
              <w:rPr>
                <w:rFonts w:ascii="宋体" w:eastAsia="宋体" w:hAnsi="宋体" w:cs="宋体" w:hint="eastAsia"/>
                <w:color w:val="000000" w:themeColor="text1"/>
                <w:sz w:val="15"/>
                <w:szCs w:val="15"/>
                <w:lang w:eastAsia="zh-CN"/>
              </w:rPr>
              <w:t>,</w:t>
            </w:r>
            <w:r w:rsidRPr="00A11142">
              <w:rPr>
                <w:color w:val="000000" w:themeColor="text1"/>
                <w:sz w:val="15"/>
                <w:szCs w:val="15"/>
                <w:lang w:eastAsia="zh-CN"/>
              </w:rPr>
              <w:t>DSA</w:t>
            </w:r>
            <w:proofErr w:type="spellEnd"/>
          </w:p>
        </w:tc>
      </w:tr>
    </w:tbl>
    <w:p w14:paraId="5F7C3A62" w14:textId="77777777" w:rsidR="00153A1E" w:rsidRDefault="00153A1E" w:rsidP="00153A1E">
      <w:pPr>
        <w:autoSpaceDE w:val="0"/>
        <w:autoSpaceDN w:val="0"/>
        <w:adjustRightInd w:val="0"/>
        <w:rPr>
          <w:rFonts w:ascii="Times New Roman" w:hAnsi="Times New Roman"/>
          <w:color w:val="000000" w:themeColor="text1"/>
        </w:rPr>
      </w:pPr>
    </w:p>
    <w:p w14:paraId="3BD8AE9F" w14:textId="77777777" w:rsidR="00153A1E" w:rsidRDefault="00153A1E" w:rsidP="00153A1E">
      <w:pPr>
        <w:rPr>
          <w:rFonts w:hint="eastAsia"/>
        </w:rPr>
      </w:pPr>
    </w:p>
    <w:p w14:paraId="4FD16EC4" w14:textId="77777777" w:rsidR="00153A1E" w:rsidRDefault="00153A1E"/>
    <w:sectPr w:rsidR="00153A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Times New Roman"/>
    <w:panose1 w:val="02000500000000000000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1E"/>
    <w:rsid w:val="0015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5816A"/>
  <w15:chartTrackingRefBased/>
  <w15:docId w15:val="{F1F6EA04-E0F7-D645-BEAB-342D6966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A1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text"/>
    <w:basedOn w:val="a"/>
    <w:link w:val="TabletextChar"/>
    <w:uiPriority w:val="99"/>
    <w:qFormat/>
    <w:rsid w:val="00153A1E"/>
    <w:pPr>
      <w:widowControl/>
      <w:spacing w:after="120"/>
      <w:jc w:val="center"/>
    </w:pPr>
    <w:rPr>
      <w:rFonts w:ascii="Times New Roman" w:eastAsia="Times New Roman" w:hAnsi="Times New Roman" w:cs="Times New Roman"/>
      <w:kern w:val="0"/>
      <w:sz w:val="20"/>
      <w:szCs w:val="18"/>
      <w:lang w:eastAsia="en-US"/>
    </w:rPr>
  </w:style>
  <w:style w:type="character" w:customStyle="1" w:styleId="TabletextChar">
    <w:name w:val="Tabletext Char"/>
    <w:basedOn w:val="a0"/>
    <w:link w:val="Tabletext"/>
    <w:uiPriority w:val="99"/>
    <w:rsid w:val="00153A1E"/>
    <w:rPr>
      <w:rFonts w:ascii="Times New Roman" w:eastAsia="Times New Roman" w:hAnsi="Times New Roman" w:cs="Times New Roman"/>
      <w:kern w:val="0"/>
      <w:sz w:val="20"/>
      <w:szCs w:val="18"/>
      <w:lang w:eastAsia="en-US"/>
    </w:rPr>
  </w:style>
  <w:style w:type="paragraph" w:customStyle="1" w:styleId="Normal">
    <w:name w:val="[Normal]"/>
    <w:rsid w:val="00153A1E"/>
    <w:pPr>
      <w:widowControl w:val="0"/>
      <w:autoSpaceDE w:val="0"/>
      <w:autoSpaceDN w:val="0"/>
      <w:adjustRightInd w:val="0"/>
    </w:pPr>
    <w:rPr>
      <w:rFonts w:ascii="宋体" w:eastAsia="宋体" w:hAnsi="Times" w:cs="宋体"/>
      <w:kern w:val="0"/>
      <w:sz w:val="24"/>
      <w:lang w:eastAsia="en-US"/>
    </w:rPr>
  </w:style>
  <w:style w:type="table" w:styleId="a3">
    <w:name w:val="Table Grid"/>
    <w:basedOn w:val="a1"/>
    <w:uiPriority w:val="39"/>
    <w:rsid w:val="00153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FigureandTable">
    <w:name w:val="Caption (Figure and Table)"/>
    <w:basedOn w:val="a"/>
    <w:link w:val="CaptionFigureandTableChar"/>
    <w:uiPriority w:val="99"/>
    <w:qFormat/>
    <w:rsid w:val="00153A1E"/>
    <w:pPr>
      <w:widowControl/>
      <w:spacing w:after="240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18"/>
      <w:lang w:eastAsia="en-US"/>
    </w:rPr>
  </w:style>
  <w:style w:type="character" w:customStyle="1" w:styleId="CaptionFigureandTableChar">
    <w:name w:val="Caption (Figure and Table) Char"/>
    <w:basedOn w:val="a0"/>
    <w:link w:val="CaptionFigureandTable"/>
    <w:uiPriority w:val="99"/>
    <w:rsid w:val="00153A1E"/>
    <w:rPr>
      <w:rFonts w:ascii="Times New Roman" w:eastAsia="Times New Roman" w:hAnsi="Times New Roman" w:cs="Times New Roman"/>
      <w:b/>
      <w:bCs/>
      <w:kern w:val="0"/>
      <w:sz w:val="20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xianrui</dc:creator>
  <cp:keywords/>
  <dc:description/>
  <cp:lastModifiedBy>xianrui</cp:lastModifiedBy>
  <cp:revision>1</cp:revision>
  <dcterms:created xsi:type="dcterms:W3CDTF">2025-05-20T09:40:00Z</dcterms:created>
  <dcterms:modified xsi:type="dcterms:W3CDTF">2025-05-20T09:40:00Z</dcterms:modified>
</cp:coreProperties>
</file>