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DD1F" w14:textId="7B6BBDCB" w:rsidR="00881A7C" w:rsidRPr="004D5450" w:rsidRDefault="00881A7C" w:rsidP="00881A7C">
      <w:pPr>
        <w:pStyle w:val="tablecaption"/>
        <w:jc w:val="left"/>
        <w:rPr>
          <w:rFonts w:ascii="Times New Roman" w:hAnsi="Times New Roman" w:cs="Times New Roman"/>
          <w:bCs/>
          <w:color w:val="000000" w:themeColor="text1"/>
          <w:szCs w:val="18"/>
        </w:rPr>
      </w:pPr>
      <w:r w:rsidRPr="004D5450">
        <w:rPr>
          <w:rFonts w:ascii="Times New Roman" w:hAnsi="Times New Roman" w:cs="Times New Roman"/>
          <w:b/>
          <w:color w:val="000000" w:themeColor="text1"/>
          <w:szCs w:val="18"/>
        </w:rPr>
        <w:t xml:space="preserve">Table </w:t>
      </w:r>
      <w:r w:rsidR="00FE5F6B">
        <w:rPr>
          <w:rFonts w:ascii="Times New Roman" w:hAnsi="Times New Roman" w:cs="Times New Roman"/>
          <w:b/>
          <w:color w:val="000000" w:themeColor="text1"/>
          <w:szCs w:val="18"/>
        </w:rPr>
        <w:t>1</w:t>
      </w:r>
      <w:r w:rsidRPr="004D5450">
        <w:rPr>
          <w:rFonts w:ascii="Times New Roman" w:hAnsi="Times New Roman" w:cs="Times New Roman"/>
          <w:b/>
          <w:color w:val="000000" w:themeColor="text1"/>
          <w:szCs w:val="18"/>
        </w:rPr>
        <w:t xml:space="preserve">. </w:t>
      </w:r>
      <w:r w:rsidR="004D5450" w:rsidRPr="00FE5F6B">
        <w:rPr>
          <w:rFonts w:ascii="Times New Roman" w:hAnsi="Times New Roman" w:cs="Times New Roman"/>
          <w:bCs/>
          <w:color w:val="000000" w:themeColor="text1"/>
          <w:szCs w:val="18"/>
        </w:rPr>
        <w:t>AI Policy Ana</w:t>
      </w:r>
      <w:r w:rsidR="004D5450" w:rsidRPr="004D5450">
        <w:rPr>
          <w:rFonts w:ascii="Times New Roman" w:hAnsi="Times New Roman" w:cs="Times New Roman"/>
          <w:color w:val="000000" w:themeColor="text1"/>
          <w:szCs w:val="18"/>
        </w:rPr>
        <w:t>lysis Categories</w:t>
      </w:r>
      <w:r w:rsidRPr="004D5450">
        <w:rPr>
          <w:rFonts w:ascii="Times New Roman" w:hAnsi="Times New Roman" w:cs="Times New Roman"/>
          <w:bCs/>
          <w:color w:val="000000" w:themeColor="text1"/>
          <w:szCs w:val="18"/>
        </w:rPr>
        <w:t>.</w:t>
      </w:r>
    </w:p>
    <w:tbl>
      <w:tblPr>
        <w:tblW w:w="1134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"/>
        <w:gridCol w:w="1270"/>
        <w:gridCol w:w="1426"/>
        <w:gridCol w:w="7512"/>
      </w:tblGrid>
      <w:tr w:rsidR="004D5450" w:rsidRPr="004D5450" w14:paraId="64D9D027" w14:textId="77777777" w:rsidTr="004D5450">
        <w:trPr>
          <w:jc w:val="center"/>
        </w:trPr>
        <w:tc>
          <w:tcPr>
            <w:tcW w:w="3828" w:type="dxa"/>
            <w:gridSpan w:val="3"/>
            <w:tcBorders>
              <w:top w:val="single" w:sz="4" w:space="0" w:color="auto"/>
              <w:bottom w:val="single" w:sz="6" w:space="0" w:color="000000"/>
            </w:tcBorders>
          </w:tcPr>
          <w:p w14:paraId="6C6A587B" w14:textId="11F5ECB8" w:rsidR="004D5450" w:rsidRPr="004D5450" w:rsidRDefault="004D5450" w:rsidP="00645D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Analysis categories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46F5F58C" w14:textId="1161B506" w:rsidR="004D5450" w:rsidRPr="004D5450" w:rsidRDefault="004D5450" w:rsidP="00645D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Connotations</w:t>
            </w:r>
          </w:p>
        </w:tc>
      </w:tr>
      <w:tr w:rsidR="004D5450" w:rsidRPr="004D5450" w14:paraId="42B1A9C6" w14:textId="77777777" w:rsidTr="004D5450">
        <w:trPr>
          <w:jc w:val="center"/>
        </w:trPr>
        <w:tc>
          <w:tcPr>
            <w:tcW w:w="1132" w:type="dxa"/>
            <w:vMerge w:val="restart"/>
            <w:tcBorders>
              <w:top w:val="single" w:sz="4" w:space="0" w:color="auto"/>
            </w:tcBorders>
            <w:vAlign w:val="center"/>
          </w:tcPr>
          <w:p w14:paraId="271B0B20" w14:textId="0FA11E3D" w:rsidR="004D5450" w:rsidRPr="004D5450" w:rsidRDefault="004D5450" w:rsidP="00C003C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Stakeholders Categories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67A1C406" w14:textId="6219B966" w:rsidR="004D5450" w:rsidRPr="004D5450" w:rsidRDefault="004D5450" w:rsidP="00C003C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Government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5E2814C5" w14:textId="46D15474" w:rsidR="004D5450" w:rsidRPr="004D5450" w:rsidRDefault="004D5450" w:rsidP="00C003C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administration that governs AI in all aspects, including political, economic, diplomatic, military cultural and educational.</w:t>
            </w:r>
          </w:p>
        </w:tc>
      </w:tr>
      <w:tr w:rsidR="004D5450" w:rsidRPr="004D5450" w14:paraId="18B9CB4D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5264B2E2" w14:textId="77777777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96" w:type="dxa"/>
            <w:gridSpan w:val="2"/>
            <w:vAlign w:val="center"/>
          </w:tcPr>
          <w:p w14:paraId="04AFEE0C" w14:textId="10612555" w:rsidR="004D5450" w:rsidRPr="004D5450" w:rsidRDefault="004D5450" w:rsidP="004D545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Corporation</w:t>
            </w:r>
          </w:p>
        </w:tc>
        <w:tc>
          <w:tcPr>
            <w:tcW w:w="7512" w:type="dxa"/>
          </w:tcPr>
          <w:p w14:paraId="7910E8A4" w14:textId="43EA0ADF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Economic organizations that can operate independently and are self-financing in the AI area.</w:t>
            </w:r>
          </w:p>
        </w:tc>
      </w:tr>
      <w:tr w:rsidR="004D5450" w:rsidRPr="004D5450" w14:paraId="240C43CA" w14:textId="77777777" w:rsidTr="004D5450">
        <w:trPr>
          <w:trHeight w:val="180"/>
          <w:jc w:val="center"/>
        </w:trPr>
        <w:tc>
          <w:tcPr>
            <w:tcW w:w="1132" w:type="dxa"/>
            <w:vMerge/>
          </w:tcPr>
          <w:p w14:paraId="426839BB" w14:textId="77777777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96" w:type="dxa"/>
            <w:gridSpan w:val="2"/>
            <w:vAlign w:val="center"/>
          </w:tcPr>
          <w:p w14:paraId="3A6D758B" w14:textId="5E31C708" w:rsidR="004D5450" w:rsidRPr="004D5450" w:rsidRDefault="004D5450" w:rsidP="004D545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Research and education organization</w:t>
            </w:r>
          </w:p>
        </w:tc>
        <w:tc>
          <w:tcPr>
            <w:tcW w:w="7512" w:type="dxa"/>
          </w:tcPr>
          <w:p w14:paraId="14BCA4D5" w14:textId="6C4BFE73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 institutions or enterprise technology institutions engaged in theoretical research, technological development, education and application testing of AI.</w:t>
            </w:r>
          </w:p>
        </w:tc>
      </w:tr>
      <w:tr w:rsidR="004D5450" w:rsidRPr="004D5450" w14:paraId="2A051FB4" w14:textId="77777777" w:rsidTr="004D5450">
        <w:trPr>
          <w:trHeight w:val="139"/>
          <w:jc w:val="center"/>
        </w:trPr>
        <w:tc>
          <w:tcPr>
            <w:tcW w:w="1132" w:type="dxa"/>
            <w:vMerge/>
          </w:tcPr>
          <w:p w14:paraId="24E51A2D" w14:textId="77777777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96" w:type="dxa"/>
            <w:gridSpan w:val="2"/>
            <w:vAlign w:val="center"/>
          </w:tcPr>
          <w:p w14:paraId="6E651FF7" w14:textId="21442C98" w:rsidR="004D5450" w:rsidRPr="004D5450" w:rsidRDefault="004D5450" w:rsidP="004D545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Expert advisory body</w:t>
            </w:r>
          </w:p>
        </w:tc>
        <w:tc>
          <w:tcPr>
            <w:tcW w:w="7512" w:type="dxa"/>
          </w:tcPr>
          <w:p w14:paraId="3782A51D" w14:textId="14432167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Expert groups that are set up by the government and the public sector to provide advisory reports or policy recommendations.</w:t>
            </w:r>
          </w:p>
        </w:tc>
      </w:tr>
      <w:tr w:rsidR="004D5450" w:rsidRPr="004D5450" w14:paraId="326E928A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58604CF1" w14:textId="77777777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96" w:type="dxa"/>
            <w:gridSpan w:val="2"/>
            <w:vAlign w:val="center"/>
          </w:tcPr>
          <w:p w14:paraId="5EE812A3" w14:textId="749E54B5" w:rsidR="004D5450" w:rsidRPr="004D5450" w:rsidRDefault="004D5450" w:rsidP="004D545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Personal user</w:t>
            </w:r>
          </w:p>
        </w:tc>
        <w:tc>
          <w:tcPr>
            <w:tcW w:w="7512" w:type="dxa"/>
          </w:tcPr>
          <w:p w14:paraId="4820EE9B" w14:textId="388845BC" w:rsidR="004D5450" w:rsidRPr="004D5450" w:rsidRDefault="004D5450" w:rsidP="00C003C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person who has basic rights and AI service under its constitution or laws.</w:t>
            </w:r>
          </w:p>
        </w:tc>
      </w:tr>
      <w:tr w:rsidR="004D5450" w:rsidRPr="004D5450" w14:paraId="7AF883CF" w14:textId="77777777" w:rsidTr="004D5450">
        <w:trPr>
          <w:trHeight w:val="70"/>
          <w:jc w:val="center"/>
        </w:trPr>
        <w:tc>
          <w:tcPr>
            <w:tcW w:w="1132" w:type="dxa"/>
            <w:vMerge w:val="restart"/>
            <w:vAlign w:val="center"/>
          </w:tcPr>
          <w:p w14:paraId="70B47015" w14:textId="6395D634" w:rsidR="004D5450" w:rsidRPr="004D5450" w:rsidRDefault="004D5450" w:rsidP="004D545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Policy tools categories</w:t>
            </w:r>
          </w:p>
        </w:tc>
        <w:tc>
          <w:tcPr>
            <w:tcW w:w="1270" w:type="dxa"/>
            <w:vMerge w:val="restart"/>
            <w:vAlign w:val="center"/>
          </w:tcPr>
          <w:p w14:paraId="1867FC09" w14:textId="62FCDE23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Supply-side</w:t>
            </w:r>
          </w:p>
        </w:tc>
        <w:tc>
          <w:tcPr>
            <w:tcW w:w="1426" w:type="dxa"/>
            <w:vAlign w:val="center"/>
          </w:tcPr>
          <w:p w14:paraId="4CBFBCEA" w14:textId="19E2C453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Financial investment</w:t>
            </w:r>
          </w:p>
        </w:tc>
        <w:tc>
          <w:tcPr>
            <w:tcW w:w="7512" w:type="dxa"/>
            <w:vAlign w:val="center"/>
          </w:tcPr>
          <w:p w14:paraId="683CAE53" w14:textId="2B92754D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Implementation of financial support and subsidies, etc., such as the provision of R&amp;D funding, activity funding, capital subsidies and incentives.</w:t>
            </w:r>
          </w:p>
        </w:tc>
      </w:tr>
      <w:tr w:rsidR="004D5450" w:rsidRPr="004D5450" w14:paraId="1991867D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195A2FE0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4EFD973C" w14:textId="553CD23C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2D4BCD22" w14:textId="2CAAD9F3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Education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719FC690" w14:textId="317803FD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Setting up a professional team, improving the AI training system, and enhancing personal data literacy, algorithmic literacy, etc.</w:t>
            </w:r>
          </w:p>
        </w:tc>
      </w:tr>
      <w:tr w:rsidR="004D5450" w:rsidRPr="004D5450" w14:paraId="3D5CEA00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4BBB8A29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74B0309E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2646028E" w14:textId="3089DA31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Infrastructure construction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66DCBD74" w14:textId="33845BA0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Building, evaluating, maintaining and managing infrastructure such as software or hardware to secure AI governance from the facilities dimension.</w:t>
            </w:r>
          </w:p>
        </w:tc>
      </w:tr>
      <w:tr w:rsidR="004D5450" w:rsidRPr="004D5450" w14:paraId="39A9A81A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3F62607F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3C1CBD08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358CAE07" w14:textId="3CA2BB99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Public service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70FD1F60" w14:textId="4A03A15E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Building a professional sector to provide non-profit AI services, professional guidance on relevant activities, coordination of resources of all parties, enhancement of public sector services and improvement of governance efficiency.</w:t>
            </w:r>
          </w:p>
        </w:tc>
      </w:tr>
      <w:tr w:rsidR="004D5450" w:rsidRPr="004D5450" w14:paraId="6AE0C48E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0DEBB66F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14:paraId="26C26D22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0BE17CA8" w14:textId="4BE17438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Information technology support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6478018F" w14:textId="23347345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Providing services for AI development and governance using big data and Internet technologies.</w:t>
            </w:r>
          </w:p>
        </w:tc>
      </w:tr>
      <w:tr w:rsidR="004D5450" w:rsidRPr="004D5450" w14:paraId="3B054A05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12FAF530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 w:val="restart"/>
            <w:vAlign w:val="center"/>
          </w:tcPr>
          <w:p w14:paraId="409CF20D" w14:textId="54F57283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Environmental-side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5FFEBEBA" w14:textId="6736FD7B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Overall planning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4AE7D5E3" w14:textId="43A7351F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Overall goals for a certain period are constructed through the introduction of AI strategies, plans, </w:t>
            </w:r>
            <w:proofErr w:type="spellStart"/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programmes</w:t>
            </w:r>
            <w:proofErr w:type="spellEnd"/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industrial policies, etc.</w:t>
            </w:r>
          </w:p>
        </w:tc>
      </w:tr>
      <w:tr w:rsidR="004D5450" w:rsidRPr="004D5450" w14:paraId="43E3CB1E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0B7CFDD5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552293C4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2A8BB9AB" w14:textId="14F4192A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Regulatory assessment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4D5EAB70" w14:textId="73761CDF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Strengthening leadership, supervision, assessment and other forms, opening up channels for AI governance feedback, and implementing policies, measures, rewards, punishments and rectification.</w:t>
            </w:r>
          </w:p>
        </w:tc>
      </w:tr>
      <w:tr w:rsidR="004D5450" w:rsidRPr="004D5450" w14:paraId="49F1E0FE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1EAE2CB7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1AF62852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075A256" w14:textId="5F51446B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Strategic measure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6BE1A132" w14:textId="4BBA9609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Advancing AI governance, such as developing guidelines and standards, encouraging innovation, algorithm testing, quality measurement, risk assessment, reward systems, etc.</w:t>
            </w:r>
          </w:p>
        </w:tc>
      </w:tr>
      <w:tr w:rsidR="004D5450" w:rsidRPr="004D5450" w14:paraId="374DCB44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19E2C957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2C52DEA1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0233A008" w14:textId="3E7BD36F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Laws and regulations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118F08B5" w14:textId="2F6B1A19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Improving AI laws and regulations, departmental rules and other mandatory measures to combat misconduct and malpractice and protect the legitimate rights and interests of stakeholders.</w:t>
            </w:r>
          </w:p>
        </w:tc>
      </w:tr>
      <w:tr w:rsidR="004D5450" w:rsidRPr="004D5450" w14:paraId="3BB9CAA9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4994BB35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14:paraId="69DEC4A8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222B4A28" w14:textId="61A08365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Tax benefits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71C8B44C" w14:textId="65DD96E6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Providing tax incentives for AI research activities to promote the industry development.</w:t>
            </w:r>
          </w:p>
        </w:tc>
      </w:tr>
      <w:tr w:rsidR="004D5450" w:rsidRPr="004D5450" w14:paraId="14400CBD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6DF83AE1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 w:val="restart"/>
            <w:vAlign w:val="center"/>
          </w:tcPr>
          <w:p w14:paraId="66F7B509" w14:textId="78356B80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Demand-side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47E8F84E" w14:textId="3469FA39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Procurement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4F8AA09A" w14:textId="60B125C3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Outsourcing work, operating platforms, collecting resources, and soliciting projects by procuring AI governance services from the community.</w:t>
            </w:r>
          </w:p>
        </w:tc>
      </w:tr>
      <w:tr w:rsidR="004D5450" w:rsidRPr="004D5450" w14:paraId="29BA2C9F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4B27B992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4E06F952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C978C1D" w14:textId="664E8CC0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Multiparty involvement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5CE71FC2" w14:textId="6E7A9C68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Encouraging multiple types of subjects to participant in AI governance.</w:t>
            </w:r>
          </w:p>
        </w:tc>
      </w:tr>
      <w:tr w:rsidR="004D5450" w:rsidRPr="004D5450" w14:paraId="4E2FEDCA" w14:textId="77777777" w:rsidTr="004D5450">
        <w:trPr>
          <w:trHeight w:val="70"/>
          <w:jc w:val="center"/>
        </w:trPr>
        <w:tc>
          <w:tcPr>
            <w:tcW w:w="1132" w:type="dxa"/>
            <w:vMerge/>
          </w:tcPr>
          <w:p w14:paraId="3C6226B6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vAlign w:val="center"/>
          </w:tcPr>
          <w:p w14:paraId="1C73DDD9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24129D7C" w14:textId="1FC24676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International exchange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793054BE" w14:textId="7B15DBCE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Strengthening international communications and cooperation, and participating in international AI standard-setting.</w:t>
            </w:r>
          </w:p>
        </w:tc>
      </w:tr>
      <w:tr w:rsidR="004D5450" w:rsidRPr="004D5450" w14:paraId="42AE314E" w14:textId="77777777" w:rsidTr="004D5450">
        <w:trPr>
          <w:trHeight w:val="70"/>
          <w:jc w:val="center"/>
        </w:trPr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11C8C35D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14:paraId="5DFB8FD7" w14:textId="7777777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16CA08C5" w14:textId="2FA65EAB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Pilot project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14:paraId="5FBF22FD" w14:textId="1C8A9E17" w:rsidR="004D5450" w:rsidRPr="004D5450" w:rsidRDefault="004D5450" w:rsidP="004D5450">
            <w:pPr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54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Cultivating leading enterprises, carrying out demonstration projects, and integrating various industry resources to help AI development.</w:t>
            </w:r>
          </w:p>
        </w:tc>
      </w:tr>
    </w:tbl>
    <w:p w14:paraId="56F896FE" w14:textId="77777777" w:rsidR="00881A7C" w:rsidRPr="004D5450" w:rsidRDefault="00881A7C" w:rsidP="00881A7C">
      <w:pPr>
        <w:kinsoku w:val="0"/>
        <w:overflowPunct w:val="0"/>
        <w:autoSpaceDE w:val="0"/>
        <w:autoSpaceDN w:val="0"/>
        <w:adjustRightInd w:val="0"/>
        <w:spacing w:line="240" w:lineRule="atLeast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US"/>
        </w:rPr>
      </w:pPr>
    </w:p>
    <w:sectPr w:rsidR="00881A7C" w:rsidRPr="004D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7C"/>
    <w:rsid w:val="000A6966"/>
    <w:rsid w:val="004D5450"/>
    <w:rsid w:val="007D54ED"/>
    <w:rsid w:val="00881A7C"/>
    <w:rsid w:val="008E30E8"/>
    <w:rsid w:val="00A730BB"/>
    <w:rsid w:val="00B035C4"/>
    <w:rsid w:val="00C003C0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1C09"/>
  <w15:chartTrackingRefBased/>
  <w15:docId w15:val="{AC98FF68-D22E-CD40-86D1-F109E1A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7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A730BB"/>
    <w:rPr>
      <w:color w:val="0000F7"/>
      <w:sz w:val="20"/>
      <w:szCs w:val="20"/>
      <w:u w:val="none"/>
    </w:rPr>
  </w:style>
  <w:style w:type="paragraph" w:customStyle="1" w:styleId="tablecaption">
    <w:name w:val="tablecaption"/>
    <w:basedOn w:val="a"/>
    <w:next w:val="a"/>
    <w:rsid w:val="00881A7C"/>
    <w:pPr>
      <w:keepNext/>
      <w:keepLines/>
      <w:spacing w:before="240" w:after="120" w:line="220" w:lineRule="atLeast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2024-07-26T03:00:00Z</dcterms:created>
  <dcterms:modified xsi:type="dcterms:W3CDTF">2024-07-26T03:10:00Z</dcterms:modified>
</cp:coreProperties>
</file>