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FAF2" w14:textId="76F476DC" w:rsidR="006D4E7B" w:rsidRDefault="006D4E7B" w:rsidP="006D4E7B">
      <w:pPr>
        <w:rPr>
          <w:b/>
          <w:bCs/>
        </w:rPr>
      </w:pPr>
      <w:r>
        <w:rPr>
          <w:b/>
          <w:bCs/>
        </w:rPr>
        <w:t xml:space="preserve">AULA 02   </w:t>
      </w:r>
    </w:p>
    <w:p w14:paraId="353C627C" w14:textId="1B3E9C7F" w:rsidR="006D4E7B" w:rsidRDefault="006D4E7B" w:rsidP="006D4E7B">
      <w:pPr>
        <w:rPr>
          <w:b/>
          <w:bCs/>
        </w:rPr>
      </w:pPr>
      <w:r>
        <w:rPr>
          <w:b/>
          <w:bCs/>
        </w:rPr>
        <w:t>Dia 02/03</w:t>
      </w:r>
    </w:p>
    <w:p w14:paraId="2EBE8CD1" w14:textId="72996C43" w:rsidR="006D4E7B" w:rsidRDefault="006D4E7B" w:rsidP="006D4E7B">
      <w:pPr>
        <w:rPr>
          <w:b/>
          <w:bCs/>
        </w:rPr>
      </w:pPr>
      <w:r>
        <w:rPr>
          <w:b/>
          <w:bCs/>
        </w:rPr>
        <w:t xml:space="preserve">Meu primeiro repositório </w:t>
      </w:r>
    </w:p>
    <w:p w14:paraId="0864164B" w14:textId="5111DD7E" w:rsidR="006D4E7B" w:rsidRPr="006D4E7B" w:rsidRDefault="006D4E7B" w:rsidP="006D4E7B">
      <w:pPr>
        <w:rPr>
          <w:b/>
          <w:bCs/>
        </w:rPr>
      </w:pPr>
      <w:r w:rsidRPr="006D4E7B">
        <w:rPr>
          <w:b/>
          <w:bCs/>
        </w:rPr>
        <w:t>Análise Crítica</w:t>
      </w:r>
    </w:p>
    <w:p w14:paraId="02B800A2" w14:textId="77777777" w:rsidR="006D4E7B" w:rsidRPr="006D4E7B" w:rsidRDefault="006D4E7B" w:rsidP="006D4E7B">
      <w:r w:rsidRPr="006D4E7B">
        <w:t xml:space="preserve">A resposta baseada no </w:t>
      </w:r>
      <w:r w:rsidRPr="006D4E7B">
        <w:rPr>
          <w:b/>
          <w:bCs/>
        </w:rPr>
        <w:t>prompt estruturado</w:t>
      </w:r>
      <w:r w:rsidRPr="006D4E7B">
        <w:t xml:space="preserve"> foi consideravelmente mais eficaz. Enquanto o comando genérico resultou em uma definição teórica e ampla, a estrutura delimitou o tom (mentor) e o método pedagógico (analogia), o que reduziu drasticamente a ambiguidade. Ao definir o formato de apenas um parágrafo, o conteúdo tornou-se mais objetivo e acessível, provando que </w:t>
      </w:r>
      <w:proofErr w:type="spellStart"/>
      <w:r w:rsidRPr="006D4E7B">
        <w:t>fornecer</w:t>
      </w:r>
      <w:proofErr w:type="spellEnd"/>
      <w:r w:rsidRPr="006D4E7B">
        <w:t xml:space="preserve"> contexto à IA evita respostas genéricas ou excessivamente técnicas.</w:t>
      </w:r>
    </w:p>
    <w:p w14:paraId="4BAA95A2" w14:textId="31A4FA69" w:rsidR="009F39C4" w:rsidRDefault="009F39C4"/>
    <w:sectPr w:rsidR="009F3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7B"/>
    <w:rsid w:val="006D4E7B"/>
    <w:rsid w:val="009F39C4"/>
    <w:rsid w:val="00CB13F5"/>
    <w:rsid w:val="00DD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8E91"/>
  <w15:chartTrackingRefBased/>
  <w15:docId w15:val="{BC1D7957-6055-4075-A285-8FB07CD9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4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4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4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4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4E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4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4E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4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4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4E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4E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4E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4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4E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4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429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2026-03-10T22:32:00Z</dcterms:created>
  <dcterms:modified xsi:type="dcterms:W3CDTF">2026-03-10T22:35:00Z</dcterms:modified>
</cp:coreProperties>
</file>