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OpenClaw 大脑层多模态决策实现原理解析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OpenClaw大脑层多模态决策实现原理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OpenClaw作为ClawLink-Edge-Lorry系统的</w:t>
      </w:r>
      <w:r>
        <w:rPr>
          <w:rFonts w:eastAsia="等线" w:ascii="Arial" w:cs="Arial" w:hAnsi="Arial"/>
          <w:b w:val="true"/>
          <w:sz w:val="22"/>
        </w:rPr>
        <w:t>上位机中央大脑层</w:t>
      </w:r>
      <w:r>
        <w:rPr>
          <w:rFonts w:eastAsia="等线" w:ascii="Arial" w:cs="Arial" w:hAnsi="Arial"/>
          <w:sz w:val="22"/>
        </w:rPr>
        <w:t>，其多模态决策能力是整个系统“指令→规划→执行→闭环”的核心，本质是通过</w:t>
      </w:r>
      <w:r>
        <w:rPr>
          <w:rFonts w:eastAsia="等线" w:ascii="Arial" w:cs="Arial" w:hAnsi="Arial"/>
          <w:b w:val="true"/>
          <w:sz w:val="22"/>
        </w:rPr>
        <w:t>多模态输入统一接入、LLM驱动的意图理解与任务拆解、跨层级资源调度、全链路反馈优化</w:t>
      </w:r>
      <w:r>
        <w:rPr>
          <w:rFonts w:eastAsia="等线" w:ascii="Arial" w:cs="Arial" w:hAnsi="Arial"/>
          <w:sz w:val="22"/>
        </w:rPr>
        <w:t xml:space="preserve"> 四大核心环节，实现对语音、文字、视觉、传感器等多模态信息的融合决策，具体实现如下：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一、多模态输入的统一接入与标准化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OpenClaw首先解决“多入口、多格式”的输入碎片化问题，通过标准化接口对接全平台交互入口层的所有模态输入，为后续统一决策奠定基础：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输入源全覆盖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语音模态：ESP32端侧的小智AI离线唤醒/ASR（语音转文字）结果，通过MQTT上报至树莓派后同步至OpenClaw；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文字模态：OpenClaw原生支持的13+IM平台（WhatsApp/飞书/Telegram等）的文字指令，直接接入其消息路由模块；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视觉/传感器模态：树莓派边缘层采集的YOLOv8视觉检测结果、AHT20温湿度/MPU6050姿态/HC-SR04超声波等传感器数据，以结构化格式同步至OpenClaw；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交互模态：Web可视化客户端的手动操作指令（拖拽控制、按钮点击），通过FastAPI接口传入。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输入格式标准化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OpenClaw内置统一的</w:t>
      </w:r>
      <w:r>
        <w:rPr>
          <w:rFonts w:eastAsia="Consolas" w:ascii="Consolas" w:cs="Consolas" w:hAnsi="Consolas"/>
          <w:sz w:val="22"/>
          <w:shd w:fill="EFF0F1"/>
        </w:rPr>
        <w:t>MultiModalInput</w:t>
      </w:r>
      <w:r>
        <w:rPr>
          <w:rFonts w:eastAsia="等线" w:ascii="Arial" w:cs="Arial" w:hAnsi="Arial"/>
          <w:sz w:val="22"/>
        </w:rPr>
        <w:t>核心数据结构，将不同模态、不同格式的输入转换为标准化数据，消除模态间的格式差异：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OpenClaw核心多模态输入标准化结构</w:t>
              <w:br/>
              <w:t>class MultiModalInput:</w:t>
              <w:br/>
              <w:t xml:space="preserve">    input_type: str  # 输入模态类型："voice"/"text"/"vision"/"sensor"/"web"</w:t>
              <w:br/>
              <w:t xml:space="preserve">    source: str      # 输入源标识：如"esp32-voice-01"/"feishu-group-123"/"yolov8-detection"</w:t>
              <w:br/>
              <w:t xml:space="preserve">    content: dict    # 结构化内容：语音/文字为{text: "指令内容"}，视觉为{detected_objects: [...]}，传感器为{temp: 25, humi: 60}</w:t>
              <w:br/>
              <w:t xml:space="preserve">    device_id: str   # 关联设备ID（如涉及特定ESP32/树莓派）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timestamp: int   # 输入时间戳（毫秒级）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二、多模态意图理解与融合推理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OpenClaw的核心是基于</w:t>
      </w:r>
      <w:r>
        <w:rPr>
          <w:rFonts w:eastAsia="等线" w:ascii="Arial" w:cs="Arial" w:hAnsi="Arial"/>
          <w:b w:val="true"/>
          <w:sz w:val="22"/>
        </w:rPr>
        <w:t>云端/本地容灾大模型</w:t>
      </w:r>
      <w:r>
        <w:rPr>
          <w:rFonts w:eastAsia="等线" w:ascii="Arial" w:cs="Arial" w:hAnsi="Arial"/>
          <w:sz w:val="22"/>
        </w:rPr>
        <w:t xml:space="preserve"> 实现多模态信息的融合理解，而非简单的单模态指令解析，确保决策的完整性和准确性：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多模态上下文融合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OpenClaw将不同模态的输入关联为统一的决策上下文，避免单一模态信息的片面性。例如：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语音指令：“检测前方障碍物，有障碍就关闭机械爪”；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视觉模态：树莓派实时上报“前方0.5m检测到障碍物（YOLOv8识别为纸箱）”；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传感器模态：ESP32上报“机械爪当前处于打开状态（舵机角度90°）”；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大模型基于上述完整上下文，而非单一语音指令，理解用户核心意图：“基于视觉检测结果，触发机械爪的闭合操作”。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LLM驱动的意图拆解与优先级排序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OpenClaw内置针对多模态场景优化的Prompt工程模板，将标准化的多模态输入传入大模型，完成三层决策拆解：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意图识别：区分“查询类”（如“获取温湿度”）、“控制类”（如“打开机械爪”）、“协同类”（如“把结果发到飞书群”）、“条件触发类”（如“温度超标则开风扇”）；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多意图拆分：若用户指令包含多步骤（如“打开机械爪+采集温湿度+发飞书+语音播报”），自动拆分为独立子任务，并按“执行优先级+依赖关系”排序（如先采集数据，再同步结果）；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模态互补校验：若单一模态输入模糊（如语音指令“处理设备异常”），自动调取关联设备的传感器/视觉数据补充上下文（如“设备异常=温湿度超标→触发通风设备”）。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三、全局任务规划与跨层级决策调度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意图拆解后，OpenClaw基于“上位机-树莓派-ESP32”三级协同架构，完成“全局最优”的决策落地，核心是“能力匹配+资源调度”：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设备能力映射与任务分配逻辑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OpenClaw内置</w:t>
      </w:r>
      <w:r>
        <w:rPr>
          <w:rFonts w:eastAsia="Consolas" w:ascii="Consolas" w:cs="Consolas" w:hAnsi="Consolas"/>
          <w:sz w:val="22"/>
          <w:shd w:fill="EFF0F1"/>
        </w:rPr>
        <w:t>DeviceCapabilityMap</w:t>
      </w:r>
      <w:r>
        <w:rPr>
          <w:rFonts w:eastAsia="等线" w:ascii="Arial" w:cs="Arial" w:hAnsi="Arial"/>
          <w:sz w:val="22"/>
        </w:rPr>
        <w:t>设备能力表，记录每个边缘/端侧设备的核心能力（如树莓派支持视觉推理/运动规划、ESP32支持舵机控制/离线语音），决策时遵循以下规则：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决策调度逻辑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轻量硬件控制（如开关机械爪）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直接下发至ESP32端侧执行，减少树莓派算力开销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复杂逻辑处理（如视觉抓取）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调度树莓派完成视觉推理+运动规划，再下发执行指令至ESP32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跨设备协同（如多大棚数据采集）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调度多个树莓派边缘节点并行采集，汇总后由OpenClaw统一处理（如发飞书/日志存储）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多平台同步（如飞书/电报推送）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OpenClaw直接调用对应IM插件，无需边缘层参与</w:t>
            </w:r>
          </w:p>
        </w:tc>
      </w:tr>
    </w:tbl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Skill插件生态的决策扩展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OpenClaw复用500+社区AgentSkills插件生态，将决策能力模块化：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决策时自动匹配插件：例如“发飞书群”指令触发飞书Skill插件，“SLAM导航”触发ROS2 Skill插件，“语音播报”触发小智AI TTS插件；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自定义决策规则：用户可通过编写Skill插件（如</w:t>
      </w:r>
      <w:r>
        <w:rPr>
          <w:rFonts w:eastAsia="Consolas" w:ascii="Consolas" w:cs="Consolas" w:hAnsi="Consolas"/>
          <w:sz w:val="22"/>
          <w:shd w:fill="EFF0F1"/>
        </w:rPr>
        <w:t>clawlink-edge.skill.md</w:t>
      </w:r>
      <w:r>
        <w:rPr>
          <w:rFonts w:eastAsia="等线" w:ascii="Arial" w:cs="Arial" w:hAnsi="Arial"/>
          <w:sz w:val="22"/>
        </w:rPr>
        <w:t>），固化行业/场景化决策逻辑（如“工业巡检场景：仪表读数异常→触发告警+暂停移动底盘”），无需修改OpenClaw核心代码。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四、执行反馈与多模态决策闭环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OpenClaw的决策并非“一次性下达”，而是通过全链路反馈实现动态调整，确保决策落地的准确性和完整性：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实时状态反馈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ESP32端侧执行指令后，通过MQTT上报执行状态（如“机械爪已关闭/传感器采集失败”）；树莓派边缘层上报复杂任务的执行进度（如“视觉检测完成/运动规划失败”）；所有状态同步至OpenClaw的任务管理模块。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决策动态修正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若执行反馈异常（如“机械爪未关闭”），OpenClaw自动触发重试/降级逻辑：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重试：重新下发指令至ESP32，并同步至Web客户端提示“指令重试中”；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降级：若重试失败，调取设备状态数据（如“机械爪舵机供电异常”），调整决策（如“语音播报故障原因+记录日志”）。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历史决策优化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OpenClaw记录所有“决策-执行-反馈”日志，通过大模型总结优化决策规则（如“用户多次指令‘检测障碍’后需关闭机械爪，可将此逻辑固化为默认规则”），持续提升决策的精准度和效率。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五、离线/容灾场景的决策降级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为适配全离线自治需求，OpenClaw设计了分级决策降级机制，确保断网场景下决策不中断：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外网断连时：OpenClaw的决策能力从“云端大模型驱动”降级为“本地规则引擎”（基于预配置的决策模板），执行基础的多模态指令解析；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上位机与树莓派断连时：树莓派边缘层的本地LLM（Ollama）接管决策能力，实现“边缘自治”，待网络恢复后同步决策日志至OpenClaw，补全全局数据。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典型示例：多模态决策完整流程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以用户指令「你好ClawLink，打开机械爪，采集温湿度，检测前方障碍物，把结果发到我的飞书群，同时语音播报给我」为例：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输入接入</w:t>
      </w:r>
      <w:r>
        <w:rPr>
          <w:rFonts w:eastAsia="等线" w:ascii="Arial" w:cs="Arial" w:hAnsi="Arial"/>
          <w:sz w:val="22"/>
        </w:rPr>
        <w:t>：ESP32端侧离线唤醒+ASR转换为文字指令，标准化后同步至OpenClaw；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意图拆解</w:t>
      </w:r>
      <w:r>
        <w:rPr>
          <w:rFonts w:eastAsia="等线" w:ascii="Arial" w:cs="Arial" w:hAnsi="Arial"/>
          <w:sz w:val="22"/>
        </w:rPr>
        <w:t>：大模型拆分为4个子任务（打开机械爪→采集温湿度→检测障碍物→飞书同步+语音播报），确定“先采集/检测，后同步/播报”的执行顺序；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决策调度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打开机械爪：OpenClaw直接下发指令至ESP32端侧执行；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采集温湿度：ESP32采集后上报树莓派，同步至OpenClaw；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检测障碍物：树莓派YOLOv8检测后上报结果；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飞书同步：OpenClaw调用飞书Skill插件，将结果发送至指定飞书群；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语音播报：OpenClaw通过树莓派下发指令至ESP32，触发TTS语音播报；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反馈闭环</w:t>
      </w:r>
      <w:r>
        <w:rPr>
          <w:rFonts w:eastAsia="等线" w:ascii="Arial" w:cs="Arial" w:hAnsi="Arial"/>
          <w:sz w:val="22"/>
        </w:rPr>
        <w:t>：所有子任务执行状态上报至OpenClaw，确认全流程完成后归档日志，完成决策闭环。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核心总结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OpenClaw大脑层的多模态决策本质是“</w:t>
      </w:r>
      <w:r>
        <w:rPr>
          <w:rFonts w:eastAsia="等线" w:ascii="Arial" w:cs="Arial" w:hAnsi="Arial"/>
          <w:b w:val="true"/>
          <w:sz w:val="22"/>
        </w:rPr>
        <w:t>标准化接入+大模型融合理解+全局调度+闭环优化</w:t>
      </w:r>
      <w:r>
        <w:rPr>
          <w:rFonts w:eastAsia="等线" w:ascii="Arial" w:cs="Arial" w:hAnsi="Arial"/>
          <w:sz w:val="22"/>
        </w:rPr>
        <w:t>”的组合：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解决“多模态输入碎片化”问题：通过统一接口和数据结构实现全模态接入；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解决“复杂任务规划”问题：通过LLM拆解多步骤、多设备协同任务；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解决“边缘/端侧自治”问题：通过三级协同和降级机制，确保断网场景下决策不中断；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解决“扩展性”问题：通过Skill插件生态，实现决策规则的无限扩展。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33552">
    <w:lvl>
      <w:start w:val="1"/>
      <w:numFmt w:val="decimal"/>
      <w:suff w:val="tab"/>
      <w:lvlText w:val="%1."/>
      <w:rPr>
        <w:color w:val="3370ff"/>
      </w:rPr>
    </w:lvl>
  </w:abstractNum>
  <w:abstractNum w:abstractNumId="1433553">
    <w:lvl>
      <w:numFmt w:val="bullet"/>
      <w:suff w:val="tab"/>
      <w:lvlText w:val="￮"/>
      <w:rPr>
        <w:color w:val="3370ff"/>
      </w:rPr>
    </w:lvl>
  </w:abstractNum>
  <w:abstractNum w:abstractNumId="1433554">
    <w:lvl>
      <w:numFmt w:val="bullet"/>
      <w:suff w:val="tab"/>
      <w:lvlText w:val="￮"/>
      <w:rPr>
        <w:color w:val="3370ff"/>
      </w:rPr>
    </w:lvl>
  </w:abstractNum>
  <w:abstractNum w:abstractNumId="1433555">
    <w:lvl>
      <w:numFmt w:val="bullet"/>
      <w:suff w:val="tab"/>
      <w:lvlText w:val="￮"/>
      <w:rPr>
        <w:color w:val="3370ff"/>
      </w:rPr>
    </w:lvl>
  </w:abstractNum>
  <w:abstractNum w:abstractNumId="1433556">
    <w:lvl>
      <w:numFmt w:val="bullet"/>
      <w:suff w:val="tab"/>
      <w:lvlText w:val="￮"/>
      <w:rPr>
        <w:color w:val="3370ff"/>
      </w:rPr>
    </w:lvl>
  </w:abstractNum>
  <w:abstractNum w:abstractNumId="1433557">
    <w:lvl>
      <w:start w:val="2"/>
      <w:numFmt w:val="decimal"/>
      <w:suff w:val="tab"/>
      <w:lvlText w:val="%1."/>
      <w:rPr>
        <w:color w:val="3370ff"/>
      </w:rPr>
    </w:lvl>
  </w:abstractNum>
  <w:abstractNum w:abstractNumId="1433558">
    <w:lvl>
      <w:start w:val="1"/>
      <w:numFmt w:val="decimal"/>
      <w:suff w:val="tab"/>
      <w:lvlText w:val="%1."/>
      <w:rPr>
        <w:color w:val="3370ff"/>
      </w:rPr>
    </w:lvl>
  </w:abstractNum>
  <w:abstractNum w:abstractNumId="1433559">
    <w:lvl>
      <w:numFmt w:val="bullet"/>
      <w:suff w:val="tab"/>
      <w:lvlText w:val="￮"/>
      <w:rPr>
        <w:color w:val="3370ff"/>
      </w:rPr>
    </w:lvl>
  </w:abstractNum>
  <w:abstractNum w:abstractNumId="1433560">
    <w:lvl>
      <w:numFmt w:val="bullet"/>
      <w:suff w:val="tab"/>
      <w:lvlText w:val="￮"/>
      <w:rPr>
        <w:color w:val="3370ff"/>
      </w:rPr>
    </w:lvl>
  </w:abstractNum>
  <w:abstractNum w:abstractNumId="1433561">
    <w:lvl>
      <w:numFmt w:val="bullet"/>
      <w:suff w:val="tab"/>
      <w:lvlText w:val="￮"/>
      <w:rPr>
        <w:color w:val="3370ff"/>
      </w:rPr>
    </w:lvl>
  </w:abstractNum>
  <w:abstractNum w:abstractNumId="1433562">
    <w:lvl>
      <w:start w:val="2"/>
      <w:numFmt w:val="decimal"/>
      <w:suff w:val="tab"/>
      <w:lvlText w:val="%1."/>
      <w:rPr>
        <w:color w:val="3370ff"/>
      </w:rPr>
    </w:lvl>
  </w:abstractNum>
  <w:abstractNum w:abstractNumId="1433563">
    <w:lvl>
      <w:numFmt w:val="bullet"/>
      <w:suff w:val="tab"/>
      <w:lvlText w:val="￮"/>
      <w:rPr>
        <w:color w:val="3370ff"/>
      </w:rPr>
    </w:lvl>
  </w:abstractNum>
  <w:abstractNum w:abstractNumId="1433564">
    <w:lvl>
      <w:numFmt w:val="bullet"/>
      <w:suff w:val="tab"/>
      <w:lvlText w:val="￮"/>
      <w:rPr>
        <w:color w:val="3370ff"/>
      </w:rPr>
    </w:lvl>
  </w:abstractNum>
  <w:abstractNum w:abstractNumId="1433565">
    <w:lvl>
      <w:numFmt w:val="bullet"/>
      <w:suff w:val="tab"/>
      <w:lvlText w:val="￮"/>
      <w:rPr>
        <w:color w:val="3370ff"/>
      </w:rPr>
    </w:lvl>
  </w:abstractNum>
  <w:abstractNum w:abstractNumId="1433566">
    <w:lvl>
      <w:start w:val="1"/>
      <w:numFmt w:val="decimal"/>
      <w:suff w:val="tab"/>
      <w:lvlText w:val="%1."/>
      <w:rPr>
        <w:color w:val="3370ff"/>
      </w:rPr>
    </w:lvl>
  </w:abstractNum>
  <w:abstractNum w:abstractNumId="1433567">
    <w:lvl>
      <w:start w:val="2"/>
      <w:numFmt w:val="decimal"/>
      <w:suff w:val="tab"/>
      <w:lvlText w:val="%1."/>
      <w:rPr>
        <w:color w:val="3370ff"/>
      </w:rPr>
    </w:lvl>
  </w:abstractNum>
  <w:abstractNum w:abstractNumId="1433568">
    <w:lvl>
      <w:numFmt w:val="bullet"/>
      <w:suff w:val="tab"/>
      <w:lvlText w:val="￮"/>
      <w:rPr>
        <w:color w:val="3370ff"/>
      </w:rPr>
    </w:lvl>
  </w:abstractNum>
  <w:abstractNum w:abstractNumId="1433569">
    <w:lvl>
      <w:numFmt w:val="bullet"/>
      <w:suff w:val="tab"/>
      <w:lvlText w:val="￮"/>
      <w:rPr>
        <w:color w:val="3370ff"/>
      </w:rPr>
    </w:lvl>
  </w:abstractNum>
  <w:abstractNum w:abstractNumId="1433570">
    <w:lvl>
      <w:start w:val="1"/>
      <w:numFmt w:val="decimal"/>
      <w:suff w:val="tab"/>
      <w:lvlText w:val="%1."/>
      <w:rPr>
        <w:color w:val="3370ff"/>
      </w:rPr>
    </w:lvl>
  </w:abstractNum>
  <w:abstractNum w:abstractNumId="1433571">
    <w:lvl>
      <w:start w:val="2"/>
      <w:numFmt w:val="decimal"/>
      <w:suff w:val="tab"/>
      <w:lvlText w:val="%1."/>
      <w:rPr>
        <w:color w:val="3370ff"/>
      </w:rPr>
    </w:lvl>
  </w:abstractNum>
  <w:abstractNum w:abstractNumId="1433572">
    <w:lvl>
      <w:numFmt w:val="bullet"/>
      <w:suff w:val="tab"/>
      <w:lvlText w:val="￮"/>
      <w:rPr>
        <w:color w:val="3370ff"/>
      </w:rPr>
    </w:lvl>
  </w:abstractNum>
  <w:abstractNum w:abstractNumId="1433573">
    <w:lvl>
      <w:numFmt w:val="bullet"/>
      <w:suff w:val="tab"/>
      <w:lvlText w:val="￮"/>
      <w:rPr>
        <w:color w:val="3370ff"/>
      </w:rPr>
    </w:lvl>
  </w:abstractNum>
  <w:abstractNum w:abstractNumId="1433574">
    <w:lvl>
      <w:start w:val="3"/>
      <w:numFmt w:val="decimal"/>
      <w:suff w:val="tab"/>
      <w:lvlText w:val="%1."/>
      <w:rPr>
        <w:color w:val="3370ff"/>
      </w:rPr>
    </w:lvl>
  </w:abstractNum>
  <w:abstractNum w:abstractNumId="1433575">
    <w:lvl>
      <w:start w:val="1"/>
      <w:numFmt w:val="decimal"/>
      <w:suff w:val="tab"/>
      <w:lvlText w:val="%1."/>
      <w:rPr>
        <w:color w:val="3370ff"/>
      </w:rPr>
    </w:lvl>
  </w:abstractNum>
  <w:abstractNum w:abstractNumId="1433576">
    <w:lvl>
      <w:start w:val="2"/>
      <w:numFmt w:val="decimal"/>
      <w:suff w:val="tab"/>
      <w:lvlText w:val="%1."/>
      <w:rPr>
        <w:color w:val="3370ff"/>
      </w:rPr>
    </w:lvl>
  </w:abstractNum>
  <w:abstractNum w:abstractNumId="1433577">
    <w:lvl>
      <w:start w:val="1"/>
      <w:numFmt w:val="decimal"/>
      <w:suff w:val="tab"/>
      <w:lvlText w:val="%1."/>
      <w:rPr>
        <w:color w:val="3370ff"/>
      </w:rPr>
    </w:lvl>
  </w:abstractNum>
  <w:abstractNum w:abstractNumId="1433578">
    <w:lvl>
      <w:start w:val="2"/>
      <w:numFmt w:val="decimal"/>
      <w:suff w:val="tab"/>
      <w:lvlText w:val="%1."/>
      <w:rPr>
        <w:color w:val="3370ff"/>
      </w:rPr>
    </w:lvl>
  </w:abstractNum>
  <w:abstractNum w:abstractNumId="1433579">
    <w:lvl>
      <w:start w:val="3"/>
      <w:numFmt w:val="decimal"/>
      <w:suff w:val="tab"/>
      <w:lvlText w:val="%1."/>
      <w:rPr>
        <w:color w:val="3370ff"/>
      </w:rPr>
    </w:lvl>
  </w:abstractNum>
  <w:abstractNum w:abstractNumId="1433580">
    <w:lvl>
      <w:numFmt w:val="bullet"/>
      <w:suff w:val="tab"/>
      <w:lvlText w:val="￮"/>
      <w:rPr>
        <w:color w:val="3370ff"/>
      </w:rPr>
    </w:lvl>
  </w:abstractNum>
  <w:abstractNum w:abstractNumId="1433581">
    <w:lvl>
      <w:numFmt w:val="bullet"/>
      <w:suff w:val="tab"/>
      <w:lvlText w:val="￮"/>
      <w:rPr>
        <w:color w:val="3370ff"/>
      </w:rPr>
    </w:lvl>
  </w:abstractNum>
  <w:abstractNum w:abstractNumId="1433582">
    <w:lvl>
      <w:numFmt w:val="bullet"/>
      <w:suff w:val="tab"/>
      <w:lvlText w:val="￮"/>
      <w:rPr>
        <w:color w:val="3370ff"/>
      </w:rPr>
    </w:lvl>
  </w:abstractNum>
  <w:abstractNum w:abstractNumId="1433583">
    <w:lvl>
      <w:numFmt w:val="bullet"/>
      <w:suff w:val="tab"/>
      <w:lvlText w:val="￮"/>
      <w:rPr>
        <w:color w:val="3370ff"/>
      </w:rPr>
    </w:lvl>
  </w:abstractNum>
  <w:abstractNum w:abstractNumId="1433584">
    <w:lvl>
      <w:numFmt w:val="bullet"/>
      <w:suff w:val="tab"/>
      <w:lvlText w:val="￮"/>
      <w:rPr>
        <w:color w:val="3370ff"/>
      </w:rPr>
    </w:lvl>
  </w:abstractNum>
  <w:abstractNum w:abstractNumId="1433585">
    <w:lvl>
      <w:start w:val="4"/>
      <w:numFmt w:val="decimal"/>
      <w:suff w:val="tab"/>
      <w:lvlText w:val="%1."/>
      <w:rPr>
        <w:color w:val="3370ff"/>
      </w:rPr>
    </w:lvl>
  </w:abstractNum>
  <w:abstractNum w:abstractNumId="1433586">
    <w:lvl>
      <w:numFmt w:val="bullet"/>
      <w:suff w:val="tab"/>
      <w:lvlText w:val="•"/>
      <w:rPr>
        <w:color w:val="3370ff"/>
      </w:rPr>
    </w:lvl>
  </w:abstractNum>
  <w:abstractNum w:abstractNumId="1433587">
    <w:lvl>
      <w:numFmt w:val="bullet"/>
      <w:suff w:val="tab"/>
      <w:lvlText w:val="•"/>
      <w:rPr>
        <w:color w:val="3370ff"/>
      </w:rPr>
    </w:lvl>
  </w:abstractNum>
  <w:abstractNum w:abstractNumId="1433588">
    <w:lvl>
      <w:numFmt w:val="bullet"/>
      <w:suff w:val="tab"/>
      <w:lvlText w:val="•"/>
      <w:rPr>
        <w:color w:val="3370ff"/>
      </w:rPr>
    </w:lvl>
  </w:abstractNum>
  <w:abstractNum w:abstractNumId="1433589">
    <w:lvl>
      <w:numFmt w:val="bullet"/>
      <w:suff w:val="tab"/>
      <w:lvlText w:val="•"/>
      <w:rPr>
        <w:color w:val="3370ff"/>
      </w:rPr>
    </w:lvl>
  </w:abstractNum>
  <w:num w:numId="1">
    <w:abstractNumId w:val="1433552"/>
  </w:num>
  <w:num w:numId="2">
    <w:abstractNumId w:val="1433553"/>
  </w:num>
  <w:num w:numId="3">
    <w:abstractNumId w:val="1433554"/>
  </w:num>
  <w:num w:numId="4">
    <w:abstractNumId w:val="1433555"/>
  </w:num>
  <w:num w:numId="5">
    <w:abstractNumId w:val="1433556"/>
  </w:num>
  <w:num w:numId="6">
    <w:abstractNumId w:val="1433557"/>
  </w:num>
  <w:num w:numId="7">
    <w:abstractNumId w:val="1433558"/>
  </w:num>
  <w:num w:numId="8">
    <w:abstractNumId w:val="1433559"/>
  </w:num>
  <w:num w:numId="9">
    <w:abstractNumId w:val="1433560"/>
  </w:num>
  <w:num w:numId="10">
    <w:abstractNumId w:val="1433561"/>
  </w:num>
  <w:num w:numId="11">
    <w:abstractNumId w:val="1433562"/>
  </w:num>
  <w:num w:numId="12">
    <w:abstractNumId w:val="1433563"/>
  </w:num>
  <w:num w:numId="13">
    <w:abstractNumId w:val="1433564"/>
  </w:num>
  <w:num w:numId="14">
    <w:abstractNumId w:val="1433565"/>
  </w:num>
  <w:num w:numId="15">
    <w:abstractNumId w:val="1433566"/>
  </w:num>
  <w:num w:numId="16">
    <w:abstractNumId w:val="1433567"/>
  </w:num>
  <w:num w:numId="17">
    <w:abstractNumId w:val="1433568"/>
  </w:num>
  <w:num w:numId="18">
    <w:abstractNumId w:val="1433569"/>
  </w:num>
  <w:num w:numId="19">
    <w:abstractNumId w:val="1433570"/>
  </w:num>
  <w:num w:numId="20">
    <w:abstractNumId w:val="1433571"/>
  </w:num>
  <w:num w:numId="21">
    <w:abstractNumId w:val="1433572"/>
  </w:num>
  <w:num w:numId="22">
    <w:abstractNumId w:val="1433573"/>
  </w:num>
  <w:num w:numId="23">
    <w:abstractNumId w:val="1433574"/>
  </w:num>
  <w:num w:numId="24">
    <w:abstractNumId w:val="1433575"/>
  </w:num>
  <w:num w:numId="25">
    <w:abstractNumId w:val="1433576"/>
  </w:num>
  <w:num w:numId="26">
    <w:abstractNumId w:val="1433577"/>
  </w:num>
  <w:num w:numId="27">
    <w:abstractNumId w:val="1433578"/>
  </w:num>
  <w:num w:numId="28">
    <w:abstractNumId w:val="1433579"/>
  </w:num>
  <w:num w:numId="29">
    <w:abstractNumId w:val="1433580"/>
  </w:num>
  <w:num w:numId="30">
    <w:abstractNumId w:val="1433581"/>
  </w:num>
  <w:num w:numId="31">
    <w:abstractNumId w:val="1433582"/>
  </w:num>
  <w:num w:numId="32">
    <w:abstractNumId w:val="1433583"/>
  </w:num>
  <w:num w:numId="33">
    <w:abstractNumId w:val="1433584"/>
  </w:num>
  <w:num w:numId="34">
    <w:abstractNumId w:val="1433585"/>
  </w:num>
  <w:num w:numId="35">
    <w:abstractNumId w:val="1433586"/>
  </w:num>
  <w:num w:numId="36">
    <w:abstractNumId w:val="1433587"/>
  </w:num>
  <w:num w:numId="37">
    <w:abstractNumId w:val="1433588"/>
  </w:num>
  <w:num w:numId="38">
    <w:abstractNumId w:val="14335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2026-02-15T07:03:22Z</dcterms:created>
  <dc:creator>Apache POI</dc:creator>
</cp:coreProperties>
</file>