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2"/>
      </w:tblGrid>
      <w:tr>
        <w:trPr/>
        <w:tc>
          <w:tcPr>
            <w:tcW w:w="5103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 w:val="20"/>
                <w:szCs w:val="20"/>
                <w:iCs/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Norbert Błąszczyk          195563</w:t>
            </w:r>
            <w:r/>
          </w:p>
          <w:p>
            <w:pPr>
              <w:pStyle w:val="Normal"/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Bartosz Kluchciński</w:t>
              <w:tab/>
              <w:t>195615</w:t>
            </w:r>
            <w:r/>
          </w:p>
        </w:tc>
        <w:tc>
          <w:tcPr>
            <w:tcW w:w="5102" w:type="dxa"/>
            <w:tcBorders/>
            <w:shd w:color="auto" w:fill="auto" w:val="clear"/>
          </w:tcPr>
          <w:p>
            <w:pPr>
              <w:pStyle w:val="Normal"/>
              <w:jc w:val="right"/>
              <w:rPr>
                <w:sz w:val="20"/>
                <w:sz w:val="20"/>
                <w:szCs w:val="20"/>
                <w:iCs/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2015/16</w:t>
            </w:r>
            <w:r/>
          </w:p>
          <w:p>
            <w:pPr>
              <w:pStyle w:val="Normal"/>
              <w:jc w:val="right"/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Środa, 8:30</w:t>
            </w:r>
            <w:r/>
          </w:p>
        </w:tc>
      </w:tr>
    </w:tbl>
    <w:p>
      <w:pPr>
        <w:pStyle w:val="Normal"/>
        <w:jc w:val="right"/>
        <w:rPr>
          <w:sz w:val="20"/>
          <w:sz w:val="20"/>
          <w:szCs w:val="20"/>
          <w:rFonts w:ascii="Times New Roman" w:hAnsi="Times New Roman" w:eastAsia="Albany AMT" w:cs="Times New Roman"/>
          <w:color w:val="00000A"/>
          <w:lang w:val="pl-PL" w:eastAsia="pl-PL" w:bidi="ar-SA"/>
        </w:rPr>
      </w:pPr>
      <w:r>
        <w:rPr>
          <w:rFonts w:eastAsia="Albany AMT" w:ascii="Times New Roman" w:hAnsi="Times New Roman"/>
          <w:sz w:val="20"/>
          <w:szCs w:val="20"/>
        </w:rPr>
      </w:r>
      <w:r/>
    </w:p>
    <w:p>
      <w:pPr>
        <w:pStyle w:val="Normal"/>
        <w:jc w:val="center"/>
        <w:rPr>
          <w:b/>
          <w:b/>
          <w:bCs/>
          <w:rFonts w:ascii="Times New Roman" w:hAnsi="Times New Roman"/>
        </w:rPr>
      </w:pPr>
      <w:r>
        <w:rPr>
          <w:rFonts w:ascii="Times New Roman" w:hAnsi="Times New Roman"/>
          <w:b/>
          <w:bCs/>
        </w:rPr>
        <w:t>METODY NUMERYCZNE – LABORATORIUM</w:t>
      </w:r>
      <w:r/>
    </w:p>
    <w:p>
      <w:pPr>
        <w:pStyle w:val="Normal"/>
        <w:jc w:val="center"/>
        <w:rPr>
          <w:iCs/>
          <w:rFonts w:ascii="Times New Roman" w:hAnsi="Times New Roman"/>
        </w:rPr>
      </w:pPr>
      <w:r>
        <w:rPr>
          <w:rFonts w:ascii="Times New Roman" w:hAnsi="Times New Roman"/>
        </w:rPr>
        <w:t xml:space="preserve">Zadanie </w:t>
      </w:r>
      <w:r>
        <w:rPr>
          <w:rFonts w:ascii="Times New Roman" w:hAnsi="Times New Roman"/>
          <w:iCs/>
        </w:rPr>
        <w:t>1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iCs/>
        </w:rPr>
        <w:t>Metody rozwiązania równań nieliniowych</w:t>
      </w:r>
      <w:r/>
    </w:p>
    <w:p>
      <w:pPr>
        <w:pStyle w:val="Normal"/>
        <w:jc w:val="center"/>
        <w:rPr>
          <w:sz w:val="20"/>
          <w:sz w:val="20"/>
          <w:szCs w:val="20"/>
          <w:rFonts w:ascii="Times New Roman" w:hAnsi="Times New Roman" w:eastAsia="Albany AMT" w:cs="Times New Roman"/>
          <w:color w:val="00000A"/>
          <w:lang w:val="pl-PL" w:eastAsia="pl-PL" w:bidi="ar-SA"/>
        </w:rPr>
      </w:pPr>
      <w:r>
        <w:rPr>
          <w:rFonts w:eastAsia="Albany AMT" w:ascii="Times New Roman" w:hAnsi="Times New Roman"/>
          <w:sz w:val="20"/>
          <w:szCs w:val="20"/>
        </w:rPr>
      </w:r>
      <w:r/>
    </w:p>
    <w:p>
      <w:pPr>
        <w:pStyle w:val="Normal"/>
        <w:rPr>
          <w:sz w:val="20"/>
          <w:b/>
          <w:sz w:val="20"/>
          <w:b/>
          <w:szCs w:val="20"/>
          <w:bCs/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</w:rPr>
        <w:t>Opis rozwiązania</w:t>
      </w:r>
      <w:r/>
    </w:p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/>
        </w:rPr>
      </w:pPr>
      <w:r>
        <w:rPr>
          <w:rFonts w:eastAsia="Courier10 BT" w:ascii="Times New Roman" w:hAnsi="Times New Roman"/>
          <w:iCs/>
          <w:sz w:val="20"/>
          <w:szCs w:val="20"/>
        </w:rPr>
        <w:t xml:space="preserve">W zadaniu zostały wykorzystane 2 metody, metoda bisekcji oraz reguła falsi. Metoda równego podziału (bisekcji) jak sama nazwa wskazuje dzieli podany przedział na 2 równe połowy i wybiera tą, w której krańce osiągają wartości różnych znaków </w:t>
        <w:br/>
        <w:t xml:space="preserve">a uznaje program za zakończony jeżeli osiągnięty przedział jest mniejszy niż przyjęta dokładność epsilon. </w:t>
      </w:r>
      <w:r/>
    </w:p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 w:cs="Times New Roman"/>
          <w:color w:val="00000A"/>
          <w:lang w:val="pl-PL" w:eastAsia="pl-PL" w:bidi="ar-SA"/>
        </w:rPr>
      </w:pPr>
      <w:r>
        <w:rPr>
          <w:rFonts w:eastAsia="Courier10 BT" w:ascii="Times New Roman" w:hAnsi="Times New Roman"/>
          <w:iCs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/>
        </w:rPr>
      </w:pPr>
      <w:r>
        <w:rPr>
          <w:rFonts w:eastAsia="Courier10 BT" w:ascii="Times New Roman" w:hAnsi="Times New Roman"/>
          <w:iCs/>
          <w:sz w:val="20"/>
          <w:szCs w:val="20"/>
        </w:rPr>
        <w:t>Algorytm bisekcji:</w:t>
      </w:r>
      <w:r/>
    </w:p>
    <w:p>
      <w:pPr>
        <w:pStyle w:val="Normal"/>
        <w:widowControl/>
        <w:numPr>
          <w:ilvl w:val="0"/>
          <w:numId w:val="1"/>
        </w:numPr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Sprawdzenie, czy pierwiastkiem równania jest punkt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, czyli czy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 </w:t>
        <w:br/>
        <w:t xml:space="preserve">Jeżeli tak jest algorytm kończy działanie, a punkt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 jest szukanym miejscem zerowym.</w:t>
      </w:r>
      <w:r/>
    </w:p>
    <w:p>
      <w:pPr>
        <w:pStyle w:val="Normal"/>
        <w:widowControl/>
        <w:numPr>
          <w:ilvl w:val="0"/>
          <w:numId w:val="1"/>
        </w:numPr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>W przeciwnym razie, dopóki nie osiągniemy żądanej dokładności, czyli dopóki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ε</m:t>
        </m:r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 : </w:t>
      </w:r>
      <w:r/>
    </w:p>
    <w:p>
      <w:pPr>
        <w:pStyle w:val="Normal"/>
        <w:widowControl/>
        <w:numPr>
          <w:ilvl w:val="1"/>
          <w:numId w:val="1"/>
        </w:numPr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Zgodnie ze wzorem z punktu pierwszego ponownie wyznaczane jest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, dzieląc przedział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 na dwa mniejsze przedziały: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 i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/>
    </w:p>
    <w:p>
      <w:pPr>
        <w:pStyle w:val="Normal"/>
        <w:widowControl/>
        <w:numPr>
          <w:ilvl w:val="1"/>
          <w:numId w:val="1"/>
        </w:numPr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Wybierany jest przedział o znaku przeciwnym niż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i odpowiednio górny albo dolny kraniec przedziału (b albo a) przyjmuje wartość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, tj. </w:t>
      </w:r>
      <w:r/>
    </w:p>
    <w:p>
      <w:pPr>
        <w:pStyle w:val="Normal"/>
        <w:widowControl/>
        <w:numPr>
          <w:ilvl w:val="2"/>
          <w:numId w:val="1"/>
        </w:numPr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Jeżeli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ascii="Times New Roman" w:hAnsi="Times New Roman"/>
          <w:sz w:val="20"/>
          <w:szCs w:val="20"/>
          <w:lang w:eastAsia="pl-PL"/>
        </w:rPr>
        <w:t>, to b=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/>
    </w:p>
    <w:p>
      <w:pPr>
        <w:pStyle w:val="Normal"/>
        <w:widowControl/>
        <w:numPr>
          <w:ilvl w:val="2"/>
          <w:numId w:val="1"/>
        </w:numPr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Jeżeli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ascii="Times New Roman" w:hAnsi="Times New Roman"/>
          <w:sz w:val="20"/>
          <w:szCs w:val="20"/>
          <w:lang w:eastAsia="pl-PL"/>
        </w:rPr>
        <w:t>, to a=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/>
    </w:p>
    <w:p>
      <w:pPr>
        <w:pStyle w:val="Normal"/>
        <w:widowControl/>
        <w:numPr>
          <w:ilvl w:val="0"/>
          <w:numId w:val="1"/>
        </w:numPr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Po osiągnięciu żądanej dokładności algorytm kończy działanie, a szukany pierwiastek równania wynosi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Times New Roman" w:ascii="Times New Roman" w:hAnsi="Times New Roman"/>
          <w:sz w:val="20"/>
          <w:szCs w:val="20"/>
          <w:lang w:eastAsia="pl-PL"/>
        </w:rPr>
        <w:t>.</w:t>
      </w:r>
      <w:r/>
    </w:p>
    <w:p>
      <w:pPr>
        <w:pStyle w:val="Normal"/>
        <w:widowControl/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>Reguła falsi również dzieli podany przedział na coraz mniejsze, lecz kolejne ograniczenia przedziałów wyliczane są poprzez wyprowadzanie cięciwy między krańcowymi punktami i również wybiera przedział z krańcami o wartościach z przeciwnymi znakami.</w:t>
      </w:r>
      <w:r/>
    </w:p>
    <w:p>
      <w:pPr>
        <w:pStyle w:val="Normal"/>
        <w:widowControl/>
        <w:suppressAutoHyphens w:val="false"/>
        <w:spacing w:beforeAutospacing="1" w:afterAutospacing="1"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>Reguła falsi:</w:t>
      </w:r>
      <w:r/>
    </w:p>
    <w:p>
      <w:pPr>
        <w:pStyle w:val="ListParagraph"/>
        <w:widowControl/>
        <w:numPr>
          <w:ilvl w:val="0"/>
          <w:numId w:val="2"/>
        </w:numPr>
        <w:suppressAutoHyphens w:val="false"/>
        <w:spacing w:beforeAutospacing="1" w:afterAutospacing="1"/>
        <w:contextualSpacing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Na początku przez punkty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 i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d>
      </m:oMath>
      <w:r>
        <w:rPr>
          <w:rFonts w:eastAsia="Times New Roman" w:ascii="Times New Roman" w:hAnsi="Times New Roman"/>
          <w:sz w:val="20"/>
          <w:szCs w:val="20"/>
          <w:lang w:eastAsia="pl-PL"/>
        </w:rPr>
        <w:t>przeprowadzana jest cięciwa.</w:t>
      </w:r>
      <w:r/>
    </w:p>
    <w:p>
      <w:pPr>
        <w:pStyle w:val="ListParagraph"/>
        <w:widowControl/>
        <w:numPr>
          <w:ilvl w:val="0"/>
          <w:numId w:val="2"/>
        </w:numPr>
        <w:suppressAutoHyphens w:val="false"/>
        <w:spacing w:beforeAutospacing="1" w:afterAutospacing="1"/>
        <w:contextualSpacing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Punkt przecięcia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ascii="Times New Roman" w:hAnsi="Times New Roman"/>
          <w:sz w:val="20"/>
          <w:szCs w:val="20"/>
          <w:lang w:eastAsia="pl-PL"/>
        </w:rPr>
        <w:t>z osią OX jest brany jako pierwsze przybliżenie pierwiastka.</w:t>
      </w:r>
      <w:r/>
    </w:p>
    <w:p>
      <w:pPr>
        <w:pStyle w:val="ListParagraph"/>
        <w:widowControl/>
        <w:numPr>
          <w:ilvl w:val="0"/>
          <w:numId w:val="2"/>
        </w:numPr>
        <w:suppressAutoHyphens w:val="false"/>
        <w:spacing w:beforeAutospacing="1" w:afterAutospacing="1"/>
        <w:contextualSpacing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>Jeśli to przybliżenie jest wystarczająco dobre, algorytm kończy się.</w:t>
      </w:r>
      <w:r/>
    </w:p>
    <w:p>
      <w:pPr>
        <w:pStyle w:val="ListParagraph"/>
        <w:widowControl/>
        <w:numPr>
          <w:ilvl w:val="0"/>
          <w:numId w:val="2"/>
        </w:numPr>
        <w:suppressAutoHyphens w:val="false"/>
        <w:spacing w:beforeAutospacing="1" w:afterAutospacing="1"/>
        <w:contextualSpacing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Jeśli nie, to prowadzona jest cięciwa przez punkty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d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oraz </w:t>
      </w:r>
      <w:r>
        <w:rPr>
          <w:rFonts w:ascii="Times New Roman" w:hAnsi="Times New Roman"/>
          <w:sz w:val="20"/>
          <w:szCs w:val="20"/>
          <w:lang w:eastAsia="pl-PL"/>
        </w:rPr>
        <w:t xml:space="preserve">A </w:t>
      </w: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lub </w:t>
      </w:r>
      <w:r>
        <w:rPr>
          <w:rFonts w:ascii="Times New Roman" w:hAnsi="Times New Roman"/>
          <w:sz w:val="20"/>
          <w:szCs w:val="20"/>
          <w:lang w:eastAsia="pl-PL"/>
        </w:rPr>
        <w:t xml:space="preserve">B </w:t>
      </w:r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– wybierany jest ten punkt, którego rzędna ma znak przeciwny do 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Times New Roman" w:ascii="Times New Roman" w:hAnsi="Times New Roman"/>
          <w:sz w:val="20"/>
          <w:szCs w:val="20"/>
          <w:lang w:eastAsia="pl-PL"/>
        </w:rPr>
        <w:t xml:space="preserve"> Jednak w praktyce, dzięki ograniczeniu nr 3 już na początku algorytmu wiadomo, który z tych punktów będzie stały, tzn. wybierany za każdym razem.</w:t>
      </w:r>
      <w:r/>
    </w:p>
    <w:p>
      <w:pPr>
        <w:pStyle w:val="ListParagraph"/>
        <w:widowControl/>
        <w:numPr>
          <w:ilvl w:val="0"/>
          <w:numId w:val="2"/>
        </w:numPr>
        <w:suppressAutoHyphens w:val="false"/>
        <w:spacing w:beforeAutospacing="1" w:afterAutospacing="1"/>
        <w:contextualSpacing/>
        <w:rPr>
          <w:sz w:val="20"/>
          <w:sz w:val="20"/>
          <w:szCs w:val="20"/>
          <w:rFonts w:ascii="Times New Roman" w:hAnsi="Times New Roman" w:eastAsia="Times New Roman"/>
          <w:lang w:eastAsia="pl-PL"/>
        </w:rPr>
      </w:pPr>
      <w:r>
        <w:rPr>
          <w:rFonts w:eastAsia="Times New Roman" w:ascii="Times New Roman" w:hAnsi="Times New Roman"/>
          <w:sz w:val="20"/>
          <w:szCs w:val="20"/>
          <w:lang w:eastAsia="pl-PL"/>
        </w:rPr>
        <w:t>Następnie wyznaczane jest przecięcie nowo wyznaczonej cięciwy z osią OX (</w:t>
      </w:r>
      <w:r>
        <w:rPr>
          <w:rFonts w:eastAsia="Times New Roman" w:ascii="Times New Roman" w:hAnsi="Times New Roman"/>
          <w:sz w:val="20"/>
          <w:szCs w:val="20"/>
          <w:lang w:eastAsia="pl-PL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Times New Roman" w:ascii="Times New Roman" w:hAnsi="Times New Roman"/>
          <w:sz w:val="20"/>
          <w:szCs w:val="20"/>
          <w:lang w:eastAsia="pl-PL"/>
        </w:rPr>
        <w:t>) i algorytm powtarza się.</w:t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0"/>
          <w:b/>
          <w:sz w:val="20"/>
          <w:b/>
          <w:szCs w:val="20"/>
          <w:bCs/>
          <w:rFonts w:ascii="Times New Roman" w:hAnsi="Times New Roman" w:eastAsia="Courier10 BT"/>
        </w:rPr>
      </w:pPr>
      <w:r>
        <w:rPr>
          <w:rFonts w:eastAsia="Courier10 BT" w:ascii="Times New Roman" w:hAnsi="Times New Roman"/>
          <w:b/>
          <w:bCs/>
          <w:sz w:val="20"/>
          <w:szCs w:val="20"/>
        </w:rPr>
        <w:t>Wyniki</w:t>
      </w:r>
      <w:r/>
    </w:p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 w:cs="Times New Roman"/>
          <w:color w:val="00000A"/>
          <w:lang w:val="pl-PL" w:eastAsia="pl-PL" w:bidi="ar-SA"/>
        </w:rPr>
      </w:pPr>
      <w:r>
        <w:rPr>
          <w:rFonts w:eastAsia="Courier10 BT" w:ascii="Times New Roman" w:hAnsi="Times New Roman"/>
          <w:iCs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/>
        </w:rPr>
      </w:pPr>
      <w:r>
        <w:rPr>
          <w:rFonts w:eastAsia="Courier10 BT" w:ascii="Times New Roman" w:hAnsi="Times New Roman"/>
          <w:iCs/>
          <w:sz w:val="20"/>
          <w:szCs w:val="20"/>
        </w:rPr>
        <w:t>Poniższa tabela przedstawia wyniki badań dla epsilona = 0.00000001, i max 100 iteracji.</w:t>
      </w:r>
      <w:r/>
    </w:p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 w:cs="Times New Roman"/>
          <w:color w:val="00000A"/>
          <w:lang w:val="pl-PL" w:eastAsia="pl-PL" w:bidi="ar-SA"/>
        </w:rPr>
      </w:pPr>
      <w:r>
        <w:rPr>
          <w:rFonts w:eastAsia="Courier10 BT" w:ascii="Times New Roman" w:hAnsi="Times New Roman"/>
          <w:iCs/>
          <w:sz w:val="20"/>
          <w:szCs w:val="20"/>
        </w:rPr>
      </w:r>
      <w:r/>
    </w:p>
    <w:tbl>
      <w:tblPr>
        <w:tblStyle w:val="Tabela-Siatka"/>
        <w:tblW w:w="10346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3"/>
        <w:gridCol w:w="850"/>
        <w:gridCol w:w="850"/>
        <w:gridCol w:w="1944"/>
        <w:gridCol w:w="1477"/>
        <w:gridCol w:w="1477"/>
        <w:gridCol w:w="1484"/>
      </w:tblGrid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Funkcja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Pocza_zakresu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Konie_zakresu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Wyn_reg_fal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Ite_reg_fal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Wyn_met_bis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Ite_met_bis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5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1.41421356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36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1.414213562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29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15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1.414213545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100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1.414213562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29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1.414213561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12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1.414213561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28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16"/>
                <w:sz w:val="16"/>
                <w:szCs w:val="16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4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1.107148718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6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1.107148722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28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8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7.390334025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6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1.107148722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29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1.107148718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3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1.107148722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26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0.7618446454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29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0.7618446457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32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14"/>
                <w:sz w:val="14"/>
                <w:szCs w:val="14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5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0.7618446454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68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0.7618446456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33</w:t>
            </w:r>
            <w:r/>
          </w:p>
        </w:tc>
      </w:tr>
      <w:tr>
        <w:trPr/>
        <w:tc>
          <w:tcPr>
            <w:tcW w:w="22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28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12</m:t>
              </m:r>
            </m:oMath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0.6</w:t>
            </w:r>
            <w:r/>
          </w:p>
        </w:tc>
        <w:tc>
          <w:tcPr>
            <w:tcW w:w="8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</w:t>
            </w:r>
            <w:r/>
          </w:p>
        </w:tc>
        <w:tc>
          <w:tcPr>
            <w:tcW w:w="19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0.7618446455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11</w:t>
            </w:r>
            <w:r/>
          </w:p>
        </w:tc>
        <w:tc>
          <w:tcPr>
            <w:tcW w:w="147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0.7618446454</w:t>
            </w:r>
            <w:r/>
          </w:p>
        </w:tc>
        <w:tc>
          <w:tcPr>
            <w:tcW w:w="14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sz w:val="20"/>
                <w:sz w:val="20"/>
                <w:szCs w:val="20"/>
                <w:iCs/>
                <w:rFonts w:ascii="Times New Roman" w:hAnsi="Times New Roman" w:eastAsia="Courier10 BT"/>
              </w:rPr>
            </w:pPr>
            <w:r>
              <w:rPr>
                <w:rFonts w:eastAsia="Courier10 BT" w:ascii="Times New Roman" w:hAnsi="Times New Roman"/>
                <w:iCs/>
                <w:sz w:val="20"/>
                <w:szCs w:val="20"/>
              </w:rPr>
              <w:t>28</w:t>
            </w:r>
            <w:r/>
          </w:p>
        </w:tc>
      </w:tr>
    </w:tbl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 w:cs="Times New Roman"/>
          <w:color w:val="00000A"/>
          <w:lang w:val="pl-PL" w:eastAsia="pl-PL" w:bidi="ar-SA"/>
        </w:rPr>
      </w:pPr>
      <w:r>
        <w:rPr>
          <w:rFonts w:eastAsia="Courier10 BT" w:ascii="Times New Roman" w:hAnsi="Times New Roman"/>
          <w:iCs/>
          <w:sz w:val="20"/>
          <w:szCs w:val="20"/>
        </w:rPr>
      </w:r>
      <w:r/>
    </w:p>
    <w:p>
      <w:pPr>
        <w:pStyle w:val="Normal"/>
        <w:jc w:val="both"/>
        <w:rPr>
          <w:sz w:val="14"/>
          <w:i/>
          <w:sz w:val="14"/>
          <w:i/>
          <w:szCs w:val="14"/>
          <w:iCs/>
          <w:rFonts w:ascii="Times New Roman" w:hAnsi="Times New Roman" w:eastAsia="Courier10 BT" w:cs="Times New Roman"/>
          <w:color w:val="00000A"/>
          <w:lang w:val="pl-PL" w:eastAsia="pl-PL" w:bidi="ar-SA"/>
        </w:rPr>
      </w:pPr>
      <w:r>
        <w:rPr>
          <w:rFonts w:eastAsia="Courier10 BT" w:ascii="Times New Roman" w:hAnsi="Times New Roman"/>
          <w:i/>
          <w:iCs/>
          <w:sz w:val="14"/>
          <w:szCs w:val="1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-47625</wp:posOffset>
                </wp:positionH>
                <wp:positionV relativeFrom="paragraph">
                  <wp:posOffset>122555</wp:posOffset>
                </wp:positionV>
                <wp:extent cx="6480810" cy="3252470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252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</w:pPr>
                            <w:r>
                              <w:rPr/>
                              <w:t xml:space="preserve">Ilustracja </w:t>
                              <w:drawing>
                                <wp:inline distT="0" distB="0" distL="0" distR="0">
                                  <wp:extent cx="6480810" cy="2986405"/>
                                  <wp:effectExtent l="0" t="0" r="0" b="0"/>
                                  <wp:docPr id="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2986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>
                                <w:rFonts w:eastAsia="Courier10 BT" w:ascii="Times New Roman" w:hAnsi="Times New Roman"/>
                                <w:i/>
                                <w:iCs/>
                                <w:sz w:val="20"/>
                                <w:szCs w:val="20"/>
                              </w:rPr>
                            </w:r>
                            <m:oMath xmlns:m="http://schemas.openxmlformats.org/officeDocument/2006/math"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oMath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510.3pt;height:256.1pt;mso-wrap-distance-left:0pt;mso-wrap-distance-right:0pt;mso-wrap-distance-top:0pt;mso-wrap-distance-bottom:0pt;margin-top:9.65pt;mso-position-vertical-relative:text;margin-left:-3.75pt;mso-position-horizontal-relative:text">
                <v:textbox inset="0in,0in,0in,0in">
                  <w:txbxContent>
                    <w:p>
                      <w:pPr>
                        <w:pStyle w:val="Ilustracja"/>
                        <w:spacing w:before="120" w:after="120"/>
                      </w:pPr>
                      <w:r>
                        <w:rPr/>
                        <w:t xml:space="preserve">Ilustracja </w:t>
                        <w:drawing>
                          <wp:inline distT="0" distB="0" distL="0" distR="0">
                            <wp:extent cx="6480810" cy="2986405"/>
                            <wp:effectExtent l="0" t="0" r="0" b="0"/>
                            <wp:docPr id="3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2986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>
                          <w:rFonts w:eastAsia="Courier10 BT" w:ascii="Times New Roman" w:hAnsi="Times New Roman"/>
                          <w:i/>
                          <w:iCs/>
                          <w:sz w:val="20"/>
                          <w:szCs w:val="20"/>
                        </w:rPr>
                      </w:r>
                      <m:oMath xmlns:m="http://schemas.openxmlformats.org/officeDocument/2006/math"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oMath>
                    </w:p>
                  </w:txbxContent>
                </v:textbox>
                <w10:wrap type="topAndBottom"/>
              </v:rect>
            </w:pict>
          </mc:Fallback>
        </mc:AlternateContent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>
          <w:rFonts w:eastAsia="Albany AMT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480810" cy="3248660"/>
                <wp:effectExtent l="0" t="0" r="0" b="0"/>
                <wp:wrapSquare wrapText="largest"/>
                <wp:docPr id="4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2486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</w:pPr>
                            <w:r>
                              <w:rPr/>
                              <w:t xml:space="preserve">Ilustracja </w:t>
                              <w:drawing>
                                <wp:inline distT="0" distB="0" distL="0" distR="0">
                                  <wp:extent cx="6480810" cy="2986405"/>
                                  <wp:effectExtent l="0" t="0" r="0" b="0"/>
                                  <wp:docPr id="5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2986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cos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510.3pt;height:255.8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ustracja"/>
                        <w:spacing w:before="120" w:after="120"/>
                      </w:pPr>
                      <w:r>
                        <w:rPr/>
                        <w:t xml:space="preserve">Ilustracja </w:t>
                        <w:drawing>
                          <wp:inline distT="0" distB="0" distL="0" distR="0">
                            <wp:extent cx="6480810" cy="2986405"/>
                            <wp:effectExtent l="0" t="0" r="0" b="0"/>
                            <wp:docPr id="6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2986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</w:r>
                      <m:oMath xmlns:m="http://schemas.openxmlformats.org/officeDocument/2006/math"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</m:oMath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480810" cy="3252470"/>
                <wp:effectExtent l="0" t="0" r="0" b="0"/>
                <wp:wrapSquare wrapText="largest"/>
                <wp:docPr id="7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252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ustracja"/>
                              <w:spacing w:before="120" w:after="120"/>
                            </w:pPr>
                            <w:r>
                              <w:rPr/>
                              <w:t xml:space="preserve">Ilustracja </w:t>
                              <w:drawing>
                                <wp:inline distT="0" distB="0" distL="0" distR="0">
                                  <wp:extent cx="6480810" cy="2986405"/>
                                  <wp:effectExtent l="0" t="0" r="0" b="0"/>
                                  <wp:docPr id="8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810" cy="2986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</w:r>
                            <m:oMath xmlns:m="http://schemas.openxmlformats.org/officeDocument/2006/math"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28</m:t>
                              </m:r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12</m:t>
                              </m:r>
                            </m:oMath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510.3pt;height:256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ustracja"/>
                        <w:spacing w:before="120" w:after="120"/>
                      </w:pPr>
                      <w:r>
                        <w:rPr/>
                        <w:t xml:space="preserve">Ilustracja </w:t>
                        <w:drawing>
                          <wp:inline distT="0" distB="0" distL="0" distR="0">
                            <wp:extent cx="6480810" cy="2986405"/>
                            <wp:effectExtent l="0" t="0" r="0" b="0"/>
                            <wp:docPr id="9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810" cy="2986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instrText> SEQ Ilustracja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</w:r>
                      <m:oMath xmlns:m="http://schemas.openxmlformats.org/officeDocument/2006/math"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28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12</m:t>
                        </m:r>
                      </m:oMath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/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/>
      </w:r>
      <w:r/>
    </w:p>
    <w:p>
      <w:pPr>
        <w:pStyle w:val="Normal"/>
        <w:jc w:val="both"/>
      </w:pPr>
      <w:r>
        <w:rPr>
          <w:rFonts w:eastAsia="Courier10 BT" w:ascii="Times New Roman" w:hAnsi="Times New Roman"/>
          <w:b/>
          <w:bCs/>
          <w:sz w:val="20"/>
          <w:szCs w:val="20"/>
        </w:rPr>
        <w:t>Wnioski</w:t>
      </w:r>
      <w:r/>
    </w:p>
    <w:p>
      <w:pPr>
        <w:pStyle w:val="ListParagraph"/>
        <w:numPr>
          <w:ilvl w:val="0"/>
          <w:numId w:val="3"/>
        </w:numPr>
        <w:jc w:val="both"/>
        <w:rPr>
          <w:sz w:val="20"/>
          <w:sz w:val="20"/>
          <w:szCs w:val="20"/>
          <w:iCs/>
          <w:rFonts w:ascii="Times New Roman" w:hAnsi="Times New Roman" w:eastAsia="Courier10 BT"/>
        </w:rPr>
      </w:pPr>
      <w:bookmarkStart w:id="0" w:name="_GoBack"/>
      <w:bookmarkEnd w:id="0"/>
      <w:r>
        <w:rPr>
          <w:rFonts w:eastAsia="Courier10 BT" w:ascii="Times New Roman" w:hAnsi="Times New Roman"/>
          <w:iCs/>
          <w:sz w:val="20"/>
          <w:szCs w:val="20"/>
        </w:rPr>
        <w:t>Reguła falsi w ogólnym przypadku jest szybsza od metody bisekcji.</w:t>
      </w:r>
      <w:r/>
    </w:p>
    <w:p>
      <w:pPr>
        <w:pStyle w:val="ListParagraph"/>
        <w:numPr>
          <w:ilvl w:val="0"/>
          <w:numId w:val="3"/>
        </w:numPr>
        <w:jc w:val="both"/>
        <w:rPr>
          <w:sz w:val="20"/>
          <w:sz w:val="20"/>
          <w:szCs w:val="20"/>
          <w:iCs/>
          <w:rFonts w:ascii="Times New Roman" w:hAnsi="Times New Roman" w:eastAsia="Courier10 BT"/>
        </w:rPr>
      </w:pPr>
      <w:r>
        <w:rPr>
          <w:rFonts w:eastAsia="Courier10 BT" w:ascii="Times New Roman" w:hAnsi="Times New Roman"/>
          <w:iCs/>
          <w:sz w:val="20"/>
          <w:szCs w:val="20"/>
        </w:rPr>
        <w:t>W przypadku, gdy epsilon jest bardzo mały reguła falsi bywa kłopotliwa (widać to w 2 przypadku, gdzie połączenie dużego zakresu z małym błędem powoduje, iż reguła falsi nie daje wystarczająco dokładnego wyniku nawet przy 100 iteracjach)</w:t>
      </w:r>
      <w:r/>
    </w:p>
    <w:p>
      <w:pPr>
        <w:pStyle w:val="ListParagraph"/>
        <w:numPr>
          <w:ilvl w:val="0"/>
          <w:numId w:val="3"/>
        </w:numPr>
        <w:jc w:val="both"/>
        <w:rPr>
          <w:sz w:val="20"/>
          <w:sz w:val="20"/>
          <w:szCs w:val="20"/>
          <w:iCs/>
          <w:rFonts w:ascii="Times New Roman" w:hAnsi="Times New Roman" w:eastAsia="Courier10 BT"/>
        </w:rPr>
      </w:pPr>
      <w:r>
        <w:rPr>
          <w:rFonts w:eastAsia="Courier10 BT" w:ascii="Times New Roman" w:hAnsi="Times New Roman"/>
          <w:iCs/>
          <w:sz w:val="20"/>
          <w:szCs w:val="20"/>
        </w:rPr>
        <w:t>Na liczbę iteracji dla metody bisekcji zakres badania ma mniejszy wpływ niż przy użyciu reguły falsi.</w:t>
      </w:r>
      <w:r/>
    </w:p>
    <w:p>
      <w:pPr>
        <w:pStyle w:val="Normal"/>
        <w:ind w:left="360" w:hanging="0"/>
        <w:jc w:val="both"/>
        <w:rPr>
          <w:sz w:val="20"/>
          <w:sz w:val="20"/>
          <w:szCs w:val="20"/>
          <w:iCs/>
          <w:rFonts w:ascii="Times New Roman" w:hAnsi="Times New Roman" w:eastAsia="Courier10 BT" w:cs="Times New Roman"/>
          <w:color w:val="00000A"/>
          <w:lang w:val="pl-PL" w:eastAsia="pl-PL" w:bidi="ar-SA"/>
        </w:rPr>
      </w:pPr>
      <w:r>
        <w:rPr>
          <w:rFonts w:eastAsia="Courier10 BT" w:ascii="Times New Roman" w:hAnsi="Times New Roman"/>
          <w:iCs/>
          <w:sz w:val="20"/>
          <w:szCs w:val="20"/>
        </w:rPr>
      </w:r>
      <w:r/>
    </w:p>
    <w:p>
      <w:pPr>
        <w:pStyle w:val="Normal"/>
        <w:jc w:val="both"/>
        <w:rPr>
          <w:sz w:val="20"/>
          <w:sz w:val="20"/>
          <w:szCs w:val="20"/>
          <w:iCs/>
          <w:rFonts w:ascii="Times New Roman" w:hAnsi="Times New Roman" w:eastAsia="Courier10 BT" w:cs="Times New Roman"/>
          <w:color w:val="00000A"/>
          <w:lang w:val="pl-PL" w:eastAsia="pl-PL" w:bidi="ar-SA"/>
        </w:rPr>
      </w:pPr>
      <w:r>
        <w:rPr>
          <w:rFonts w:eastAsia="Courier10 BT" w:ascii="Times New Roman" w:hAnsi="Times New Roman"/>
          <w:iCs/>
          <w:sz w:val="20"/>
          <w:szCs w:val="20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horndale AMT" w:hAnsi="Thorndale AMT" w:eastAsia="Albany AMT" w:cs="Times New Roman"/>
          <w:color w:val="00000A"/>
          <w:lang w:val="pl-PL" w:eastAsia="pl-PL" w:bidi="ar-SA"/>
        </w:rPr>
      </w:pPr>
      <w:r>
        <w:rPr/>
      </w:r>
      <w:r/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Thorndale AMT">
    <w:altName w:val="Times New Roman"/>
    <w:charset w:val="ee"/>
    <w:family w:val="roman"/>
    <w:pitch w:val="variable"/>
  </w:font>
  <w:font w:name="StarSymbol">
    <w:altName w:val="Arial Unicode MS"/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horndale AMT" w:hAnsi="Thorndale AMT" w:eastAsia="Albany AMT" w:cs="Times New Roman"/>
      <w:color w:val="00000A"/>
      <w:sz w:val="24"/>
      <w:szCs w:val="24"/>
      <w:lang w:val="pl-PL" w:eastAsia="pl-PL" w:bidi="ar-SA"/>
    </w:rPr>
  </w:style>
  <w:style w:type="character" w:styleId="DefaultParagraphFont" w:default="1">
    <w:name w:val="Default Paragraph Font"/>
    <w:rPr/>
  </w:style>
  <w:style w:type="character" w:styleId="Znakinumeracji" w:customStyle="1">
    <w:name w:val="Znaki numeracji"/>
    <w:rPr/>
  </w:style>
  <w:style w:type="character" w:styleId="Symbolewypunktowania" w:customStyle="1">
    <w:name w:val="Symbole wypunktowania"/>
    <w:rPr>
      <w:rFonts w:ascii="StarSymbol" w:hAnsi="StarSymbol" w:eastAsia="StarSymbol" w:cs="StarSymbol"/>
      <w:sz w:val="18"/>
      <w:szCs w:val="18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rsid w:val="00e5535a"/>
    <w:rPr>
      <w:rFonts w:ascii="Tahoma" w:hAnsi="Tahoma" w:eastAsia="Albany AMT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5535a"/>
    <w:rPr>
      <w:color w:val="808080"/>
    </w:rPr>
  </w:style>
  <w:style w:type="character" w:styleId="Czeinternetowe">
    <w:name w:val="Łącze internetowe"/>
    <w:basedOn w:val="DefaultParagraphFont"/>
    <w:uiPriority w:val="99"/>
    <w:semiHidden/>
    <w:unhideWhenUsed/>
    <w:rsid w:val="003f029e"/>
    <w:rPr>
      <w:color w:val="0000FF"/>
      <w:u w:val="single"/>
      <w:lang w:val="zxx" w:eastAsia="zxx" w:bidi="zxx"/>
    </w:rPr>
  </w:style>
  <w:style w:type="character" w:styleId="5yl5" w:customStyle="1">
    <w:name w:val="_5yl5"/>
    <w:basedOn w:val="DefaultParagraphFont"/>
    <w:rsid w:val="0063479d"/>
    <w:rPr/>
  </w:style>
  <w:style w:type="character" w:styleId="ListLabel1">
    <w:name w:val="ListLabel 1"/>
    <w:rPr>
      <w:sz w:val="20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20"/>
    </w:pPr>
    <w:rPr/>
  </w:style>
  <w:style w:type="paragraph" w:styleId="Lista">
    <w:name w:val="Lista"/>
    <w:basedOn w:val="Tretekstu"/>
    <w:pPr/>
    <w:rPr>
      <w:rFonts w:cs="Lucida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pPr>
      <w:suppressLineNumbers/>
    </w:pPr>
    <w:rPr>
      <w:rFonts w:cs="Lucidasans"/>
    </w:rPr>
  </w:style>
  <w:style w:type="paragraph" w:styleId="Zawartotabeli" w:customStyle="1">
    <w:name w:val="Zawartość tabeli"/>
    <w:basedOn w:val="Normal"/>
    <w:pPr>
      <w:suppressLineNumbers/>
    </w:pPr>
    <w:rPr/>
  </w:style>
  <w:style w:type="paragraph" w:styleId="Nagwektabeli" w:customStyle="1">
    <w:name w:val="Nagłówek tabeli"/>
    <w:basedOn w:val="Zawartotabeli"/>
    <w:pPr>
      <w:jc w:val="center"/>
    </w:pPr>
    <w:rPr>
      <w:b/>
      <w:bCs/>
    </w:rPr>
  </w:style>
  <w:style w:type="paragraph" w:styleId="Podpis1" w:customStyle="1">
    <w:name w:val="Podpis1"/>
    <w:basedOn w:val="Normal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styleId="Gwka">
    <w:name w:val="Główka"/>
    <w:basedOn w:val="Normal"/>
    <w:pPr>
      <w:suppressLineNumbers/>
      <w:tabs>
        <w:tab w:val="center" w:pos="5103" w:leader="none"/>
        <w:tab w:val="right" w:pos="10206" w:leader="none"/>
      </w:tabs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rsid w:val="00e5535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29e"/>
    <w:pPr>
      <w:spacing w:before="0" w:after="0"/>
      <w:ind w:left="720" w:hanging="0"/>
      <w:contextualSpacing/>
    </w:pPr>
    <w:rPr/>
  </w:style>
  <w:style w:type="paragraph" w:styleId="Ilustracja">
    <w:name w:val="Ilustracja"/>
    <w:basedOn w:val="Podpis"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3f029e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Application>LibreOffice/4.3.4.1$Windows_x86 LibreOffice_project/bc356b2f991740509f321d70e4512a6a54c5f243</Application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2016-03-22T22:36:00Z</dcterms:created>
  <dc:creator>Norbert</dc:creator>
  <dc:language>pl-PL</dc:language>
  <cp:lastPrinted>1601-01-01T00:00:00Z</cp:lastPrinted>
  <dcterms:modified xsi:type="dcterms:W3CDTF">2016-03-23T09:11:21Z</dcterms:modified>
  <cp:revision>6</cp:revision>
</cp:coreProperties>
</file>