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守忆大模型记忆管理策略说明报告</w:t>
      </w:r>
    </w:p>
    <w:p>
      <w:pPr>
        <w:pStyle w:val="Subtitle"/>
      </w:pPr>
      <w:r>
        <w:t>赛题三  基于角色隔离的记忆管理</w:t>
      </w:r>
    </w:p>
    <w:p>
      <w:r>
        <w:t>本报告区分v2.0首次真实运行、v2.2中断调试与v2.2.1完整重跑。当前交付记忆来自v2.2.1的28轮真实运行，首轮与中断记录独立备份。重跑观察到部分操作改善，仍有漏记和内容粒度问题，不据此声称官方准确率或隐藏验证集成绩。</w:t>
      </w:r>
    </w:p>
    <w:p>
      <w:pPr>
        <w:pStyle w:val="Heading1"/>
      </w:pPr>
      <w:r>
        <w:t>项目目标与实现方式</w:t>
      </w:r>
    </w:p>
    <w:p>
      <w:r>
        <w:t>本项目依据赛题三任务书和官方28轮对话，开发由大模型阅读自然语言守则并管理角色记忆的交互应用。提取、更新、关联复核、失效、遗忘、污染识别与回应由LLM决定。程序执行模型给出的操作，提供结构校验、证据检查、权限边界和持久化，不以本地中文正则或固定字段表代替模型判断。</w:t>
      </w:r>
    </w:p>
    <w:p>
      <w:r>
        <w:t>官方输入每轮单独调用模型，后续轮次只能接收此前已经生成的角色记忆与必要近期对话。主人背景卡没有作为事实预填或对话输入。当前实现属于自研LLM记忆应用，尚未完成TeleAgent平台深度使用验证。</w:t>
      </w:r>
    </w:p>
    <w:p>
      <w:pPr>
        <w:pStyle w:val="Heading1"/>
      </w:pPr>
      <w:r>
        <w:t>常驻守则与模型决策协议</w:t>
      </w:r>
    </w:p>
    <w:p>
      <w:r>
        <w:t>交付根目录memory-rules.md包含9条自然语言守则，分别约束输入来源、提取范围、同属性更新、不确定性、撤销与删除、敏感信息、污染防御、执行证据和结果表达。每次模型请求均把完整守则放入系统指令，网页守则视图也读取同一个文件。</w:t>
      </w:r>
    </w:p>
    <w:p>
      <w:r>
        <w:t>守则之外的接口协议要求模型返回JSON，包含总体决策、理由、引用条款、助手回应、引用的已有记忆属性及操作列表。支持upsert、review、invalidate和forget四种操作，分别对应写入更新、关联复核、标记失效和清除记忆。模型自行生成稳定属性ID，并在后续对话复用；不局限于预先枚举的公司、住址或证书字段。</w:t>
      </w:r>
    </w:p>
    <w:p>
      <w:r>
        <w:t>每项操作必须给出本轮输入中的逐字证据。该检查可以发现格式错误和不存在的证据，但不能充分证明模型的语义推断正确。模型可能引用真实原文却作出错误推断，因此运行成功和事实正确需要分别评价。</w:t>
      </w:r>
    </w:p>
    <w:p>
      <w:pPr>
        <w:pStyle w:val="Heading1"/>
      </w:pPr>
      <w:r>
        <w:t>状态管理与角色隔离</w:t>
      </w:r>
    </w:p>
    <w:p>
      <w:r>
        <w:t>有效事实使用ACTIVE。真实性尚未确认的内容使用UNVERIFIED，原有事实的持续有效性因关联变化而不确定时使用REVIEW。更新后的旧值标为SUPERSEDED。主人明确要求清除具体内容时，由模型给出forget操作，程序按该操作清除指定属性的当前值、历史版本和可识别的相关快照及引用文本。</w:t>
      </w:r>
    </w:p>
    <w:p>
      <w:r>
        <w:t>可信模拟入口提供主人、第三方、推送和系统四种来源。所有来源都由LLM读取守则并作出回应；第三方上下文不携带主人既有私密记忆，程序也拒绝执行非主人来源的写操作。来源选项是本机演示的模拟前提，不等价于真实用户认证。公开部署需要账户绑定、访问控制和更严格的数据隔离。</w:t>
      </w:r>
    </w:p>
    <w:p>
      <w:r>
        <w:t>工作区分为官方实跑、自由试验和历史分支。分支继承当时快照，但与原工作区独立；从历史轮次继续输入会先创建分支，防止改写已有官方运行结果。</w:t>
      </w:r>
    </w:p>
    <w:p>
      <w:pPr>
        <w:pStyle w:val="Heading1"/>
      </w:pPr>
      <w:r>
        <w:t>时效与重要临时事项</w:t>
      </w:r>
    </w:p>
    <w:p>
      <w:r>
        <w:t>短期有效与重要程度、事实确定性分别判断。v2.2保留ACTIVE、REVIEW、UNVERIFIED、SUPERSEDED、DELETED五种状态，在每次写入和更新时由模型额外给出validity对象，包含持续或临时类型、原说话参照轮次、原话时间表达和结束条件。临时交办可以是当前有效事项，带期限的转述仍可待核实；推送和第三方不因此获得主人档案写入权。</w:t>
      </w:r>
    </w:p>
    <w:p>
      <w:r>
        <w:t>官方对话中，临时招聘机会的跟进与撤销、备考到取得证书的阶段变化，以及带有相对期限的消息，为这一设计提供了场景依据。公开材料没有逐轮标准答案，这些是设计解释，不作为预设轮次操作，也不写入模型的固定答案表。</w:t>
      </w:r>
    </w:p>
    <w:p>
      <w:r>
        <w:t>模型须区分完成、取消和期限届满。完成后使旧待办失效，有长期价值的结果单独保存；明确取消依遗忘守则清除；到期不视为已完成，结合尚未履行责任和参考价值选择复核、失效或合理遗忘。缺少可信日历锚点时不编造具体日期，不把模拟六个月映射到电脑当前日期；沿用旧相对时间须保留原参照轮次。</w:t>
      </w:r>
    </w:p>
    <w:p>
      <w:r>
        <w:t>程序只校验结构与参照轮次范围，保存模型给出的时效元数据。元数据独立变化也能产生新版本，复核和失效保留时效，遗忘同时清除各版本、快照、变更记录和可识别引用中的相关时效细节。当前记忆与近期变化会传给模型；界面与导出展示时效并保留旧结果未标注的事实。没有后台计时提醒或推送，在下一轮有输入时由模型复核。</w:t>
      </w:r>
    </w:p>
    <w:p>
      <w:pPr>
        <w:pStyle w:val="Heading1"/>
      </w:pPr>
      <w:r>
        <w:t>数据保护与失败处理</w:t>
      </w:r>
    </w:p>
    <w:p>
      <w:r>
        <w:t>完整长号码和疑似密钥在请求前做最小化隐藏，模型仍根据语境判断是否只保存类型和尾号。该步骤保护传输与存储，不负责解释职业、住址变化或判断污染。API密钥仅存在服务进程内存中，不进入源码、浏览器存储和交付记录。</w:t>
      </w:r>
    </w:p>
    <w:p>
      <w:r>
        <w:t>程序先在独立副本上校验并执行整轮操作，成功后提交状态。模型调用失败、返回无效JSON、证据不在输入中或提出越权操作时，停止当前轮，不保存半成品，也不启用本地规则或固定样例答案。官方任务中断后，在守则、输入与模型配置一致的前提下，可以从下一轮继续。</w:t>
      </w:r>
    </w:p>
    <w:p>
      <w:pPr>
        <w:pStyle w:val="Heading1"/>
      </w:pPr>
      <w:r>
        <w:t>官方材料的首次真实运行</w:t>
      </w:r>
    </w:p>
    <w:p>
      <w:r>
        <w:t>2026年10月15日20时08分58秒至20时10分08秒，应用使用DeepSeek接口的deepseek-flash模型完成28轮官方输入。28轮均取得供应商请求标识并通过程序结构校验，运行过程中没有重试轮次。运行标识为764c460770da406a80e0caec6773d689。</w:t>
      </w:r>
    </w:p>
    <w:p>
      <w:r>
        <w:t>本次调用记录的输入token合计135904，输出token合计7606，总计143510。以上为接口返回用量，未据此估算或声称实际账单金额。</w:t>
      </w:r>
    </w:p>
    <w:p>
      <w:r>
        <w:t>模型作出19轮变更、5轮忽略和4轮拦截。最终存储状态包含25条ACTIVE、4条REVIEW、1条UNVERIFIED和13条SUPERSEDED。这些数值描述模型实际处理过程，不代表正确率、赛题得分或隐藏验证集评估结果。</w:t>
      </w:r>
    </w:p>
    <w:p>
      <w:r>
        <w:t>上述v2.0首轮状态、最终记忆和报告已保存在交付目录之外的gpt/开发备份/LLM首轮_v2.0。当前app/data/official-llm-run.json与根目录memory-LIMING.md来自下述v2.2.1完整重跑，属于本应用运行产物，不能替代TeleAgent平台导出的log.json。</w:t>
      </w:r>
    </w:p>
    <w:p>
      <w:pPr>
        <w:pStyle w:val="Heading1"/>
      </w:pPr>
      <w:r>
        <w:t>关键表现与已知不足</w:t>
      </w:r>
    </w:p>
    <w:p>
      <w:r>
        <w:t>第6轮模型更新工作单位和职业，第7轮更新居住与通勤，并对旧区域游泳和车辆保养安排提出复核。第9轮保存PMP已通过并取得证书的结果，后续没有恢复为未完成目标。第17至18轮仅保留账号或证件尾号。第19至21轮第三方请求被拦截，第24轮的保证高收益内容被拦截，第26轮裁员消息保存为待核实事件。系统和普通推送没有写入主人长期记忆。</w:t>
      </w:r>
    </w:p>
    <w:p>
      <w:r>
        <w:t>本次运行也暴露了需要改进的问题。第23轮模型使用invalidate处理不再考虑的工作机会，使其退出当前记忆，但保留了失效历史，没有执行forget清除全部版本。健康改善后，原取药安排仍被模型保留为ACTIVE，没有触发关联复核。部分闲聊补充被模型认为具有长期价值并继续保存，提取边界还需要独立评价。</w:t>
      </w:r>
    </w:p>
    <w:p>
      <w:r>
        <w:t>这些v2.0决策保留在原始备份，没有用预设答案替换。后续已修订自然语言守则和协议并完成真实重跑；独立表达与反例评估仍待进行，以区分守则改进和对公开样例的过度适配。</w:t>
      </w:r>
    </w:p>
    <w:p>
      <w:pPr>
        <w:pStyle w:val="Heading1"/>
      </w:pPr>
      <w:r>
        <w:t>v2.2中断调试与协议修订</w:t>
      </w:r>
    </w:p>
    <w:p>
      <w:r>
        <w:t>首次加入时效的v2.2运行保存6轮成功结果、共8次尝试。第7轮两次因从REVIEW写入新ACTIVE值却缺少confirmed:true而被原子拒绝；失败调用的元数据与用量未保留。该运行及对应规则协议独立保存在gpt/开发备份/LLM时效版_v2.2_中断，没有拼接进最终运行。</w:t>
      </w:r>
    </w:p>
    <w:p>
      <w:r>
        <w:t>v2.2.1保留引擎确认门禁，统一守则与协议：主人明确提供同属性新的当前值，可以确认本轮新值，不要求额外复述确认口令，也不追认旧存疑内容。模型仍须显式给出confirmed:true，程序不补齐标记。修订后从空白重新运行。</w:t>
      </w:r>
    </w:p>
    <w:p>
      <w:pPr>
        <w:pStyle w:val="Heading1"/>
      </w:pPr>
      <w:r>
        <w:t>v2.2.1完整真实重跑</w:t>
      </w:r>
    </w:p>
    <w:p>
      <w:r>
        <w:t>2026年10月15日22时33分46秒至22时35分19秒，deepseek-flash完成28轮，运行标识为11b66796f5a24ae1913c6c5f1027843c。该完整运行28次尝试、28个唯一供应商请求标识，无本次运行内重试。与前述中断调试合计，本次共36次尝试、34次保存成功、2次拒绝；v2.0首轮另计，不能声称整个过程无失败。</w:t>
      </w:r>
    </w:p>
    <w:p>
      <w:r>
        <w:t>完整v2.2.1运行返回输入249389 tokens、输出11226 tokens、合计260615 tokens，只覆盖该完整运行，不能代表全部调试用量或账单。决策为19轮变更、5轮忽略、4轮拦截。最终存储包含18条ACTIVE、5条REVIEW、1条UNVERIFIED、12条SUPERSEDED、1条DELETED。当前有效及存疑条目24条，其中3条temporary：取药安排REVIEW、数据分析师备考ACTIVE、裁员传闻UNVERIFIED。条目数量减少不等于准确率提高。</w:t>
      </w:r>
    </w:p>
    <w:p>
      <w:r>
        <w:t>第5轮PMP备考为temporary，第9轮取得证书的结果为ongoing，旧备考版本失效。第11轮取药为REVIEW，未断言已停药。第23轮实际forget，清除了工作机会的值、证据、时效及相关快照和变更内容，但仍保留事项key、label及操作标记；第22轮时效字段已被清理，不能事后声称观察到其具体kind。第26轮同时为temporary与UNVERIFIED，第28轮推送ignore，未建立主人已确认日程。这些是本作品策略解释与实际结果，不是官方逐轮答案。</w:t>
      </w:r>
    </w:p>
    <w:p>
      <w:r>
        <w:t>仍存问题包括：第6轮明确薪酬变化未提取；第7轮总体理由说旧通勤路线和时长转REVIEW，实际同轮执行的是新值ACTIVE，解释存在局部不一致；第14轮忙碌比较仍合并进备考目标；第15轮学校特点与同学相关补充并入学校位置，粒度偏杂。第13轮保留“能去”表述，没有加强成经常习惯，但长期保存价值仍可讨论。当前运行文件和最终记忆没有为消除这些问题而手工修改。</w:t>
      </w:r>
    </w:p>
    <w:p>
      <w:r>
        <w:t>遗忘只覆盖当前工作区的相应内容，仍保留事项名称及删除标记；独立分支、开发备份和平台日志不自动清理，不能声称所有可识别信息或全设备历史副本已清除。</w:t>
      </w:r>
    </w:p>
    <w:p>
      <w:pPr>
        <w:pStyle w:val="Heading1"/>
      </w:pPr>
      <w:r>
        <w:t>界面与展示</w:t>
      </w:r>
    </w:p>
    <w:p>
      <w:r>
        <w:t>界面依据用户指定的优化版布局，采用对话列表、对话与处理、当前记忆三栏，并保留侧边导航、深浅主题和投屏模式。模型回应与记忆操作分开展示，变更明确列出原值、现值和原因；点击条款可以直接查看完整守则。官方任务显示真实进度、错误和完成状态，运行结束前不生成最终角色记忆。</w:t>
      </w:r>
    </w:p>
    <w:p>
      <w:r>
        <w:t>查看已保存的真实快照不需要重复调用模型。重新运行和自由输入会发起新的模型请求，界面明确提示接口去向及调用费用。每轮详情保留模型名称、请求标识、耗时和守则摘要，便于评审者核对运行来源。</w:t>
      </w:r>
    </w:p>
    <w:p>
      <w:pPr>
        <w:pStyle w:val="Heading1"/>
      </w:pPr>
      <w:r>
        <w:t>评价范围与后续工作</w:t>
      </w:r>
    </w:p>
    <w:p>
      <w:r>
        <w:t>当前成果证明了LLM读取守则并逐轮管理记忆的端到端链路已经真实执行。尚未进行独立模型效果评估、隐藏验证集评分或TeleAgent平台深度使用验证。本次未新增或运行单元测试，旧本地规则版本的测试记录不作为当前模型版本的验证依据。</w:t>
      </w:r>
    </w:p>
    <w:p>
      <w:r>
        <w:t>后续重点是完善隐性遗忘与关联复核的守则，审查模型推断的证据充分性，完成跨角色和新表达场景评估，以及实际浏览器和现场投屏验收。模型实跑文件、最终记忆与报告应同步版本，避免展示旧守则对应的结果。</w:t>
      </w:r>
    </w:p>
    <w:p>
      <w:pPr>
        <w:pStyle w:val="Heading1"/>
      </w:pPr>
      <w:r>
        <w:t>本次已完成的守则修订</w:t>
      </w:r>
    </w:p>
    <w:p>
      <w:r>
        <w:t>针对首次运行的问题，已经统一第3至5条的操作边界。待跟进机会、目标或提醒被主人明确撤销时执行forget，不再额外要求出现“删除”字眼或隐私抹除声明；普通事实被替代时更新或失效，关联安排是否继续未知时才标记待确认。</w:t>
      </w:r>
    </w:p>
    <w:p>
      <w:r>
        <w:t>每次明确变化后，模型须检查依赖原条件的旧记忆，分别说明保留、复核或退出的理由。已结束的主事实和可能继续的关联安排分开判断，避免把旧在读学校继续留在待确认区，也避免从健康改善直接推断已停药。</w:t>
      </w:r>
    </w:p>
    <w:p>
      <w:r>
        <w:t>提取规则新增长期价值、实质增量和语义支持检查，限制把可能性推成习惯、把局部描述推成整体偏好；同时要求检查附带的明确稳定事实，减少漏记。年龄保留自述时点，不根据学段推算；相对时间绑定原说话时点。</w:t>
      </w:r>
    </w:p>
    <w:p>
      <w:r>
        <w:t>模型协议只定义JSON字段和操作表示，语义决策统一引用守则。系统比较守则与协议摘要，续跑不能混用不同版本。当前服务已重启加载v2.2.1并完成上述重跑，具体改善和不足分别记录。浏览器界面尚未视觉验收；报告生成环境缺少内置LibreOffice，DOCX尚未完成逐页视觉验收。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60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360"/>
    </w:pPr>
    <w:rPr>
      <w:rFonts w:asciiTheme="majorHAnsi" w:eastAsiaTheme="majorEastAsia" w:hAnsiTheme="majorHAnsi" w:cstheme="majorBidi" w:ascii="Microsoft YaHei" w:hAnsi="Microsoft YaHei" w:eastAsia="Microsoft YaHei" w:cs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守忆角色记忆管理策略说明报告</dc:title>
  <dc:subject>赛题三 基于角色隔离的记忆管理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