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守忆角色记忆管理策略说明报告</w:t>
      </w:r>
    </w:p>
    <w:p>
      <w:pPr>
        <w:pStyle w:val="Subtitle"/>
      </w:pPr>
      <w:r>
        <w:t>赛题三  基于角色隔离的记忆管理</w:t>
      </w:r>
    </w:p>
    <w:p>
      <w:pPr>
        <w:pStyle w:val="Heading1"/>
      </w:pPr>
      <w:r>
        <w:t>依据与目标</w:t>
      </w:r>
    </w:p>
    <w:p>
      <w:r>
        <w:t>设计依据为《赛题三：基于角色隔离的记忆管理》任务书和官方28轮对话流。主人背景卡只用于理解情境，不参与引擎输入。目标是让“对话输入→候选提取→权限和数据校验→记忆变化→可检查快照”形成一个可运行、可追踪的过程。</w:t>
      </w:r>
    </w:p>
    <w:p>
      <w:pPr>
        <w:pStyle w:val="Heading1"/>
      </w:pPr>
      <w:r>
        <w:t>一份权威状态</w:t>
      </w:r>
    </w:p>
    <w:p>
      <w:r>
        <w:t>Python后端持有工作区记忆和每轮快照。网页只呈现服务器给出的变化和快照，不维护第二套生命周期规则。原文视图与下载均使用同一个Markdown导出器。官方输入每次启动都通过引擎重新处理，没有按轮次预置的操作表。</w:t>
      </w:r>
    </w:p>
    <w:p>
      <w:r>
        <w:t>工作区区分官方材料回放、空白自由试验和从历史快照继承的分支。分支独立持久化，便于在相同事实背景下尝试不同输入，避免演示操作改动已保存的官方结果。</w:t>
      </w:r>
    </w:p>
    <w:p>
      <w:pPr>
        <w:pStyle w:val="Heading1"/>
      </w:pPr>
      <w:r>
        <w:t>来源与权限</w:t>
      </w:r>
    </w:p>
    <w:p>
      <w:r>
        <w:t>来源由测试入口指定，第三方和外部消息没有写主人档案的权限。自报身份不能改变权限。提取模型不决定角色；查询按同一owner_id检索。该机制证明模拟条件下的权限规则可执行，并不冒充真实用户身份验证。应用仅在本机开放服务。</w:t>
      </w:r>
    </w:p>
    <w:p>
      <w:pPr>
        <w:pStyle w:val="Heading1"/>
      </w:pPr>
      <w:r>
        <w:t>属性粒度与状态</w:t>
      </w:r>
    </w:p>
    <w:p>
      <w:r>
        <w:t>以稳定属性ID区分本人任职、配偶任职、女儿学校/年级/年龄观测，避免不同中文字段名造成冲突遗漏。属性变化形成旧版本与新版本。目标完成保留取得证书的结果，不把提及过去备考当成新计划。</w:t>
      </w:r>
    </w:p>
    <w:p>
      <w:r>
        <w:t>有效信息使用ACTIVE。真实性尚未确认的二手消息使用UNVERIFIED；原来有效但是否继续适用不明确的安排使用REVIEW。这两者在页面独立展示并可由主人确认，不能因为补充了一句话就自动升级。搬家、升学、健康变化会触发相关安排复核，不能未经证实直接删除。</w:t>
      </w:r>
    </w:p>
    <w:p>
      <w:pPr>
        <w:pStyle w:val="Heading1"/>
      </w:pPr>
      <w:r>
        <w:t>遗忘与隐私</w:t>
      </w:r>
    </w:p>
    <w:p>
      <w:r>
        <w:t>明确删除的优先级高于保留审计原值。删除覆盖指定属性当前和历史版本，并清除本工作区快照和相关输入/回复中的可恢复内容，只留下不含原值的操作标记。独立分支不共享可变对象，删除范围在界面与README中明确。</w:t>
      </w:r>
    </w:p>
    <w:p>
      <w:r>
        <w:t>号码脱敏不依赖校验位。银行卡和身份证只保存最小尾号标记；密码、验证码、密钥拒绝保存。未实现加密凭据托管，因此不使用“密文托管”的产品承诺。可选模型只接受脱敏文本，真实密钥只存在服务内存。</w:t>
      </w:r>
    </w:p>
    <w:p>
      <w:pPr>
        <w:pStyle w:val="Heading1"/>
      </w:pPr>
      <w:r>
        <w:t>可解释处理与可选模型</w:t>
      </w:r>
    </w:p>
    <w:p>
      <w:r>
        <w:t>默认规则面向常见中文自述、属性变更、目标、固定安排和赛题攻击类型，规则未识别的内容明确不写入。它有表达覆盖边界，不能声称通用理解。启用模型时，模型只提出合法字段下的值、状态与原文证据，后端再次检查来源、字段、证据和状态；调用或结构失败则显示降级原因。</w:t>
      </w:r>
    </w:p>
    <w:p>
      <w:r>
        <w:t>金融防御判断收益保证与投资语境的组合，不因出现“年化”就拒绝正常事实；个人主页不因有URL而成为营销。系统和推送消息不记，普通环境信息不计作攻击。第三方越权、指令篡改和明显高风险保证承诺单独标为拦截。</w:t>
      </w:r>
    </w:p>
    <w:p>
      <w:pPr>
        <w:pStyle w:val="Heading1"/>
      </w:pPr>
      <w:r>
        <w:t>交互设计</w:t>
      </w:r>
    </w:p>
    <w:p>
      <w:r>
        <w:t>采用浅色纸面、深绿色导航与有限的琥珀/珊瑚状态提示。主区域由“本轮发生什么”和“此刻记住什么”构成；时间轴用于回溯，变更条目展示旧值、新值、原因和条款。没有旋转装饰、虚构知识关系或固定满分指标。</w:t>
      </w:r>
    </w:p>
    <w:p>
      <w:r>
        <w:t>统计来自所选轮次快照和前缀操作记录，清楚区分有效、待确认和拦截。桌面窗口使用左右内容独立滚动的工作台，操作区保持在顶部。窄屏或较矮窗口使用上下布局。场景定位提供建档、更新、敏感信息、越权、遗忘与污染拦截入口，投屏模式放大关键内容。</w:t>
      </w:r>
    </w:p>
    <w:p>
      <w:r>
        <w:t>守则窗口从交付根目录的同一份memory-rules.md读取正文，按条款呈现；每轮执行依据可以直接打开对应条款。完整原文与可下载文件同时保留，使评审者能够对照设计文本与实际状态转换。</w:t>
      </w:r>
    </w:p>
    <w:p>
      <w:pPr>
        <w:pStyle w:val="Heading1"/>
      </w:pPr>
      <w:r>
        <w:t>关键轮次的处理</w:t>
      </w:r>
    </w:p>
    <w:p>
      <w:r>
        <w:t>第6轮更新任职公司和职位，使原公司与原职位成为失效历史。第7轮搬家并改变通勤，旧区域的固定安排转为待确认；这种处理保留了不确定性，也需要在后续验证中审查其是否足以覆盖赛题要求的主动遗忘。</w:t>
      </w:r>
    </w:p>
    <w:p>
      <w:r>
        <w:t>第9轮保存已经取得PMP证书的完成结果，后续提及过去备考时不恢复为未完成目标。第17至18轮只保留银行卡和身份证的最小尾号标记。第19至21轮对第三方访问或改写请求执行权限拦截。第23轮撤销工作机会时清除指定属性的全部版本及相关快照内容。</w:t>
      </w:r>
    </w:p>
    <w:p>
      <w:r>
        <w:t>第24轮拒绝具有保证高收益承诺的理财信息，第26轮将裁员传闻作为待核实事件。第27至28轮的环境与推送消息不写入角色长期记忆。以上均为本作品引擎的处理策略，不是组织方标准答案。</w:t>
      </w:r>
    </w:p>
    <w:p>
      <w:pPr>
        <w:pStyle w:val="Heading1"/>
      </w:pPr>
      <w:r>
        <w:t>验证与限制</w:t>
      </w:r>
    </w:p>
    <w:p>
      <w:r>
        <w:t>回归测试覆盖官方流程最终事实、旧值失效、证书完成不被闲聊回退、第三方无权修改、存疑不自动升级、显式遗忘历史清除、脱敏、不依赖校验位、普通年化与链接不误拦截、模型异常与非法Schema。测试输入包含官方材料之外的新区域、职位和表达。</w:t>
      </w:r>
    </w:p>
    <w:p>
      <w:r>
        <w:t>这些测试验证实现行为，不代表官方隐藏验证集得分。本版本未生成平台对话日志，未宣称已经完成TeleAgent真实环境验证。未来可扩展更多语言表达、时间有效性管理、真实身份认证和独立评测数据。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8" w:lineRule="auto" w:after="160"/>
    </w:pPr>
    <w:rPr>
      <w:rFonts w:ascii="Microsoft YaHei" w:hAnsi="Microsoft YaHei" w:eastAsia="Microsoft YaHei" w:cs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360"/>
    </w:pPr>
    <w:rPr>
      <w:rFonts w:asciiTheme="majorHAnsi" w:eastAsiaTheme="majorEastAsia" w:hAnsiTheme="majorHAnsi" w:cstheme="majorBidi" w:ascii="Microsoft YaHei" w:hAnsi="Microsoft YaHei" w:eastAsia="Microsoft YaHei" w:cs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守忆角色记忆管理策略说明报告</dc:title>
  <dc:subject>赛题三 基于角色隔离的记忆管理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