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42D9" w:rsidRPr="00B26F20" w:rsidRDefault="00B2185D" w:rsidP="00B26F20">
      <w:pPr>
        <w:jc w:val="center"/>
        <w:rPr>
          <w:u w:val="single"/>
        </w:rPr>
      </w:pPr>
      <w:r w:rsidRPr="00B26F20">
        <w:rPr>
          <w:u w:val="single"/>
        </w:rPr>
        <w:t>TIDAL ENERGY</w:t>
      </w:r>
    </w:p>
    <w:p w:rsidR="00B2185D" w:rsidRDefault="00406FE3" w:rsidP="00257387">
      <w:pPr>
        <w:ind w:firstLine="720"/>
        <w:jc w:val="both"/>
      </w:pPr>
      <w:r>
        <w:t xml:space="preserve">Tidal energy was explored for use on the Island of Great </w:t>
      </w:r>
      <w:proofErr w:type="spellStart"/>
      <w:r>
        <w:t>Cumbrae</w:t>
      </w:r>
      <w:proofErr w:type="spellEnd"/>
      <w:r>
        <w:t>. Various aspects of the technology and resource were investigated, including the availability of the resource on the</w:t>
      </w:r>
      <w:r w:rsidR="00216154">
        <w:t xml:space="preserve"> region &amp;</w:t>
      </w:r>
      <w:r>
        <w:t xml:space="preserve"> Island, the environmental problems associated with deploying the technology, planning &amp; leasing requirements, health &amp; safety concerns and finally, the existing government policy support framework available.</w:t>
      </w:r>
    </w:p>
    <w:p w:rsidR="00EE6E2C" w:rsidRDefault="00EE6E2C" w:rsidP="00257387">
      <w:pPr>
        <w:ind w:firstLine="720"/>
        <w:jc w:val="both"/>
      </w:pPr>
      <w:r>
        <w:t xml:space="preserve">Tidal energy is primarily caused by the gravitational forces </w:t>
      </w:r>
      <w:r w:rsidR="00430F7A">
        <w:t xml:space="preserve">of the sun and moon acting upon the earth and its oceans as these planetary bodies rotate </w:t>
      </w:r>
      <w:r w:rsidR="007E37D6">
        <w:t xml:space="preserve">around each other. </w:t>
      </w:r>
      <w:r w:rsidR="00705F09">
        <w:t xml:space="preserve"> The various orbital cycles which determine relative ocean movements and heights are as follows: </w:t>
      </w:r>
    </w:p>
    <w:p w:rsidR="00705F09" w:rsidRDefault="00705F09" w:rsidP="00257387">
      <w:pPr>
        <w:pStyle w:val="ListParagraph"/>
        <w:numPr>
          <w:ilvl w:val="0"/>
          <w:numId w:val="1"/>
        </w:numPr>
        <w:jc w:val="both"/>
      </w:pPr>
      <w:r>
        <w:t>The daily or half cycle associated with the rotational movement of the moon around the earth.</w:t>
      </w:r>
    </w:p>
    <w:p w:rsidR="00705F09" w:rsidRDefault="00705F09" w:rsidP="00257387">
      <w:pPr>
        <w:pStyle w:val="ListParagraph"/>
        <w:numPr>
          <w:ilvl w:val="0"/>
          <w:numId w:val="1"/>
        </w:numPr>
        <w:jc w:val="both"/>
      </w:pPr>
      <w:r>
        <w:t xml:space="preserve"> The global 29.5-day cycle associated with </w:t>
      </w:r>
      <w:r w:rsidR="00E854EE">
        <w:t>degrees of alignment of the sun and moon resulting in ‘Spring’ &amp; ‘Neap’ tides and,</w:t>
      </w:r>
    </w:p>
    <w:p w:rsidR="007B782C" w:rsidRDefault="00E854EE" w:rsidP="00257387">
      <w:pPr>
        <w:pStyle w:val="ListParagraph"/>
        <w:numPr>
          <w:ilvl w:val="0"/>
          <w:numId w:val="1"/>
        </w:numPr>
        <w:jc w:val="both"/>
      </w:pPr>
      <w:r>
        <w:t xml:space="preserve">The half year cycle associated with the alignment of the moons orbit with Earth’s </w:t>
      </w:r>
      <w:sdt>
        <w:sdtPr>
          <w:id w:val="1611312688"/>
          <w:citation/>
        </w:sdtPr>
        <w:sdtContent>
          <w:r w:rsidR="007B782C">
            <w:fldChar w:fldCharType="begin"/>
          </w:r>
          <w:r w:rsidR="007B782C">
            <w:instrText xml:space="preserve"> CITATION Sus07 \l 2057 </w:instrText>
          </w:r>
          <w:r w:rsidR="007B782C">
            <w:fldChar w:fldCharType="separate"/>
          </w:r>
          <w:r w:rsidR="007B782C">
            <w:rPr>
              <w:noProof/>
            </w:rPr>
            <w:t>(Sustainable Development Commission, 2007)</w:t>
          </w:r>
          <w:r w:rsidR="007B782C">
            <w:fldChar w:fldCharType="end"/>
          </w:r>
        </w:sdtContent>
      </w:sdt>
    </w:p>
    <w:p w:rsidR="007B782C" w:rsidRDefault="007B782C" w:rsidP="00257387">
      <w:pPr>
        <w:jc w:val="both"/>
      </w:pPr>
    </w:p>
    <w:p w:rsidR="00E854EE" w:rsidRDefault="00E229A0" w:rsidP="00257387">
      <w:pPr>
        <w:jc w:val="both"/>
      </w:pPr>
      <w:r>
        <w:t>A 2012 study carried out by the Crown Estate estimated the marine energy potential available in the UK</w:t>
      </w:r>
      <w:r w:rsidR="006C29BA">
        <w:t xml:space="preserve">. Studies show a great potential exists for exploiting tidal energy in the UK, with total energy estimates from all tidal based technologies estimated at 216 </w:t>
      </w:r>
      <w:proofErr w:type="spellStart"/>
      <w:r w:rsidR="006C29BA">
        <w:t>TWh</w:t>
      </w:r>
      <w:proofErr w:type="spellEnd"/>
      <w:r w:rsidR="006C29BA">
        <w:t>/year.</w:t>
      </w:r>
      <w:r w:rsidR="00CB14CA">
        <w:t xml:space="preserve"> A large proportion of this resource exists in Scottish waters, with preliminary estimates suggesting an indicated maximum power generation capacity of 23.5 GW from all types of tidal technologies.</w:t>
      </w:r>
    </w:p>
    <w:p w:rsidR="00385D7D" w:rsidRDefault="00385D7D" w:rsidP="00257387">
      <w:pPr>
        <w:jc w:val="both"/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"/>
        <w:gridCol w:w="2240"/>
        <w:gridCol w:w="120"/>
        <w:gridCol w:w="2360"/>
        <w:gridCol w:w="2340"/>
        <w:gridCol w:w="2440"/>
      </w:tblGrid>
      <w:tr w:rsidR="00385D7D" w:rsidRPr="00385D7D" w:rsidTr="00637181">
        <w:trPr>
          <w:trHeight w:val="254"/>
        </w:trPr>
        <w:tc>
          <w:tcPr>
            <w:tcW w:w="100" w:type="dxa"/>
            <w:tcBorders>
              <w:top w:val="single" w:sz="8" w:space="0" w:color="auto"/>
              <w:left w:val="single" w:sz="8" w:space="0" w:color="auto"/>
            </w:tcBorders>
            <w:shd w:val="clear" w:color="auto" w:fill="365F91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Cs w:val="20"/>
                <w:lang w:eastAsia="en-GB"/>
              </w:rPr>
            </w:pPr>
          </w:p>
        </w:tc>
        <w:tc>
          <w:tcPr>
            <w:tcW w:w="2240" w:type="dxa"/>
            <w:tcBorders>
              <w:top w:val="single" w:sz="8" w:space="0" w:color="auto"/>
            </w:tcBorders>
            <w:shd w:val="clear" w:color="auto" w:fill="365F91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Calibri" w:eastAsia="Calibri" w:hAnsi="Calibri" w:cs="Arial"/>
                <w:b/>
                <w:color w:val="FFFFFF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b/>
                <w:color w:val="FFFFFF"/>
                <w:sz w:val="20"/>
                <w:szCs w:val="20"/>
                <w:lang w:eastAsia="en-GB"/>
              </w:rPr>
              <w:t>Type</w:t>
            </w: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shd w:val="clear" w:color="auto" w:fill="365F91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Cs w:val="20"/>
                <w:lang w:eastAsia="en-GB"/>
              </w:rPr>
            </w:pPr>
          </w:p>
        </w:tc>
        <w:tc>
          <w:tcPr>
            <w:tcW w:w="2360" w:type="dxa"/>
            <w:tcBorders>
              <w:top w:val="single" w:sz="8" w:space="0" w:color="auto"/>
              <w:right w:val="single" w:sz="8" w:space="0" w:color="auto"/>
            </w:tcBorders>
            <w:shd w:val="clear" w:color="auto" w:fill="365F91"/>
            <w:vAlign w:val="bottom"/>
          </w:tcPr>
          <w:p w:rsidR="00385D7D" w:rsidRPr="00385D7D" w:rsidRDefault="00385D7D" w:rsidP="00257387">
            <w:pPr>
              <w:spacing w:after="0" w:line="0" w:lineRule="atLeast"/>
              <w:ind w:left="100"/>
              <w:jc w:val="both"/>
              <w:rPr>
                <w:rFonts w:ascii="Calibri" w:eastAsia="Calibri" w:hAnsi="Calibri" w:cs="Arial"/>
                <w:b/>
                <w:color w:val="FFFFFF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b/>
                <w:color w:val="FFFFFF"/>
                <w:sz w:val="20"/>
                <w:szCs w:val="20"/>
                <w:lang w:eastAsia="en-GB"/>
              </w:rPr>
              <w:t>Location</w:t>
            </w:r>
          </w:p>
        </w:tc>
        <w:tc>
          <w:tcPr>
            <w:tcW w:w="2340" w:type="dxa"/>
            <w:tcBorders>
              <w:top w:val="single" w:sz="8" w:space="0" w:color="auto"/>
              <w:right w:val="single" w:sz="8" w:space="0" w:color="auto"/>
            </w:tcBorders>
            <w:shd w:val="clear" w:color="auto" w:fill="365F91"/>
            <w:vAlign w:val="bottom"/>
          </w:tcPr>
          <w:p w:rsidR="00385D7D" w:rsidRPr="00385D7D" w:rsidRDefault="00385D7D" w:rsidP="00257387">
            <w:pPr>
              <w:spacing w:after="0" w:line="0" w:lineRule="atLeast"/>
              <w:ind w:left="100"/>
              <w:jc w:val="both"/>
              <w:rPr>
                <w:rFonts w:ascii="Calibri" w:eastAsia="Calibri" w:hAnsi="Calibri" w:cs="Arial"/>
                <w:b/>
                <w:color w:val="FFFFFF"/>
                <w:sz w:val="20"/>
                <w:szCs w:val="20"/>
                <w:shd w:val="clear" w:color="auto" w:fill="365F91"/>
                <w:lang w:eastAsia="en-GB"/>
              </w:rPr>
            </w:pPr>
            <w:r w:rsidRPr="00385D7D">
              <w:rPr>
                <w:rFonts w:ascii="Calibri" w:eastAsia="Calibri" w:hAnsi="Calibri" w:cs="Arial"/>
                <w:b/>
                <w:color w:val="FFFFFF"/>
                <w:sz w:val="20"/>
                <w:szCs w:val="20"/>
                <w:shd w:val="clear" w:color="auto" w:fill="365F91"/>
                <w:lang w:eastAsia="en-GB"/>
              </w:rPr>
              <w:t>Indicative annual energy</w:t>
            </w:r>
          </w:p>
        </w:tc>
        <w:tc>
          <w:tcPr>
            <w:tcW w:w="2440" w:type="dxa"/>
            <w:tcBorders>
              <w:top w:val="single" w:sz="8" w:space="0" w:color="auto"/>
              <w:right w:val="single" w:sz="8" w:space="0" w:color="auto"/>
            </w:tcBorders>
            <w:shd w:val="clear" w:color="auto" w:fill="365F91"/>
            <w:vAlign w:val="bottom"/>
          </w:tcPr>
          <w:p w:rsidR="00385D7D" w:rsidRPr="00385D7D" w:rsidRDefault="00385D7D" w:rsidP="00257387">
            <w:pPr>
              <w:spacing w:after="0" w:line="0" w:lineRule="atLeast"/>
              <w:ind w:left="100"/>
              <w:jc w:val="both"/>
              <w:rPr>
                <w:rFonts w:ascii="Calibri" w:eastAsia="Calibri" w:hAnsi="Calibri" w:cs="Arial"/>
                <w:b/>
                <w:color w:val="FFFFFF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b/>
                <w:color w:val="FFFFFF"/>
                <w:sz w:val="20"/>
                <w:szCs w:val="20"/>
                <w:lang w:eastAsia="en-GB"/>
              </w:rPr>
              <w:t>Indicative maximum</w:t>
            </w:r>
          </w:p>
        </w:tc>
      </w:tr>
      <w:tr w:rsidR="00385D7D" w:rsidRPr="00385D7D" w:rsidTr="00637181">
        <w:trPr>
          <w:trHeight w:val="241"/>
        </w:trPr>
        <w:tc>
          <w:tcPr>
            <w:tcW w:w="100" w:type="dxa"/>
            <w:tcBorders>
              <w:left w:val="single" w:sz="8" w:space="0" w:color="auto"/>
              <w:bottom w:val="single" w:sz="8" w:space="0" w:color="auto"/>
            </w:tcBorders>
            <w:shd w:val="clear" w:color="auto" w:fill="365F91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240" w:type="dxa"/>
            <w:tcBorders>
              <w:bottom w:val="single" w:sz="8" w:space="0" w:color="auto"/>
            </w:tcBorders>
            <w:shd w:val="clear" w:color="auto" w:fill="365F91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365F91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365F91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3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365F91"/>
            <w:vAlign w:val="bottom"/>
          </w:tcPr>
          <w:p w:rsidR="00385D7D" w:rsidRPr="00385D7D" w:rsidRDefault="00385D7D" w:rsidP="00257387">
            <w:pPr>
              <w:spacing w:after="0" w:line="238" w:lineRule="exact"/>
              <w:ind w:left="100"/>
              <w:jc w:val="both"/>
              <w:rPr>
                <w:rFonts w:ascii="Calibri" w:eastAsia="Calibri" w:hAnsi="Calibri" w:cs="Arial"/>
                <w:b/>
                <w:color w:val="FFFFFF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b/>
                <w:color w:val="FFFFFF"/>
                <w:sz w:val="20"/>
                <w:szCs w:val="20"/>
                <w:lang w:eastAsia="en-GB"/>
              </w:rPr>
              <w:t>[</w:t>
            </w:r>
            <w:proofErr w:type="spellStart"/>
            <w:r w:rsidRPr="00385D7D">
              <w:rPr>
                <w:rFonts w:ascii="Calibri" w:eastAsia="Calibri" w:hAnsi="Calibri" w:cs="Arial"/>
                <w:b/>
                <w:color w:val="FFFFFF"/>
                <w:sz w:val="20"/>
                <w:szCs w:val="20"/>
                <w:lang w:eastAsia="en-GB"/>
              </w:rPr>
              <w:t>TWh</w:t>
            </w:r>
            <w:proofErr w:type="spellEnd"/>
            <w:r w:rsidRPr="00385D7D">
              <w:rPr>
                <w:rFonts w:ascii="Calibri" w:eastAsia="Calibri" w:hAnsi="Calibri" w:cs="Arial"/>
                <w:b/>
                <w:color w:val="FFFFFF"/>
                <w:sz w:val="20"/>
                <w:szCs w:val="20"/>
                <w:lang w:eastAsia="en-GB"/>
              </w:rPr>
              <w:t>/year]</w:t>
            </w:r>
          </w:p>
        </w:tc>
        <w:tc>
          <w:tcPr>
            <w:tcW w:w="24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365F91"/>
            <w:vAlign w:val="bottom"/>
          </w:tcPr>
          <w:p w:rsidR="00385D7D" w:rsidRPr="00385D7D" w:rsidRDefault="00385D7D" w:rsidP="00257387">
            <w:pPr>
              <w:spacing w:after="0" w:line="238" w:lineRule="exact"/>
              <w:ind w:left="100"/>
              <w:jc w:val="both"/>
              <w:rPr>
                <w:rFonts w:ascii="Calibri" w:eastAsia="Calibri" w:hAnsi="Calibri" w:cs="Arial"/>
                <w:b/>
                <w:color w:val="FFFFFF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b/>
                <w:color w:val="FFFFFF"/>
                <w:sz w:val="20"/>
                <w:szCs w:val="20"/>
                <w:lang w:eastAsia="en-GB"/>
              </w:rPr>
              <w:t>power [GW]</w:t>
            </w:r>
          </w:p>
        </w:tc>
      </w:tr>
      <w:tr w:rsidR="00385D7D" w:rsidRPr="00385D7D" w:rsidTr="00637181">
        <w:trPr>
          <w:trHeight w:val="234"/>
        </w:trPr>
        <w:tc>
          <w:tcPr>
            <w:tcW w:w="10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240" w:type="dxa"/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0" w:lineRule="exact"/>
              <w:ind w:left="100"/>
              <w:jc w:val="both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England</w:t>
            </w:r>
          </w:p>
        </w:tc>
        <w:tc>
          <w:tcPr>
            <w:tcW w:w="23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0" w:lineRule="exact"/>
              <w:ind w:right="194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34</w:t>
            </w:r>
          </w:p>
        </w:tc>
        <w:tc>
          <w:tcPr>
            <w:tcW w:w="24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0" w:lineRule="exact"/>
              <w:ind w:left="10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11</w:t>
            </w:r>
          </w:p>
        </w:tc>
      </w:tr>
      <w:tr w:rsidR="00385D7D" w:rsidRPr="00385D7D" w:rsidTr="00637181">
        <w:trPr>
          <w:trHeight w:val="234"/>
        </w:trPr>
        <w:tc>
          <w:tcPr>
            <w:tcW w:w="10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240" w:type="dxa"/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0" w:lineRule="exact"/>
              <w:ind w:left="100"/>
              <w:jc w:val="both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Wales</w:t>
            </w:r>
          </w:p>
        </w:tc>
        <w:tc>
          <w:tcPr>
            <w:tcW w:w="23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0" w:lineRule="exact"/>
              <w:ind w:right="194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28</w:t>
            </w:r>
          </w:p>
        </w:tc>
        <w:tc>
          <w:tcPr>
            <w:tcW w:w="24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0" w:lineRule="exact"/>
              <w:ind w:left="10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9.5</w:t>
            </w:r>
          </w:p>
        </w:tc>
      </w:tr>
      <w:tr w:rsidR="00385D7D" w:rsidRPr="00385D7D" w:rsidTr="00637181">
        <w:trPr>
          <w:trHeight w:val="234"/>
        </w:trPr>
        <w:tc>
          <w:tcPr>
            <w:tcW w:w="10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240" w:type="dxa"/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0" w:lineRule="exact"/>
              <w:jc w:val="both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Tidal stream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0" w:lineRule="exact"/>
              <w:ind w:left="100"/>
              <w:jc w:val="both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Scotland</w:t>
            </w:r>
          </w:p>
        </w:tc>
        <w:tc>
          <w:tcPr>
            <w:tcW w:w="23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0" w:lineRule="exact"/>
              <w:ind w:right="194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32</w:t>
            </w:r>
          </w:p>
        </w:tc>
        <w:tc>
          <w:tcPr>
            <w:tcW w:w="24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0" w:lineRule="exact"/>
              <w:ind w:left="10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11</w:t>
            </w:r>
          </w:p>
        </w:tc>
      </w:tr>
      <w:tr w:rsidR="00385D7D" w:rsidRPr="00385D7D" w:rsidTr="00637181">
        <w:trPr>
          <w:trHeight w:val="234"/>
        </w:trPr>
        <w:tc>
          <w:tcPr>
            <w:tcW w:w="10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240" w:type="dxa"/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0" w:lineRule="exact"/>
              <w:ind w:left="100"/>
              <w:jc w:val="both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Northern Ireland</w:t>
            </w:r>
          </w:p>
        </w:tc>
        <w:tc>
          <w:tcPr>
            <w:tcW w:w="23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0" w:lineRule="exact"/>
              <w:ind w:left="10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24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0" w:lineRule="exact"/>
              <w:ind w:left="10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0.5</w:t>
            </w:r>
          </w:p>
        </w:tc>
      </w:tr>
      <w:tr w:rsidR="00385D7D" w:rsidRPr="00385D7D" w:rsidTr="00637181">
        <w:trPr>
          <w:trHeight w:val="234"/>
        </w:trPr>
        <w:tc>
          <w:tcPr>
            <w:tcW w:w="100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24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BE5F1"/>
            <w:vAlign w:val="bottom"/>
          </w:tcPr>
          <w:p w:rsidR="00385D7D" w:rsidRPr="00385D7D" w:rsidRDefault="00385D7D" w:rsidP="00257387">
            <w:pPr>
              <w:spacing w:after="0" w:line="230" w:lineRule="exact"/>
              <w:ind w:left="100"/>
              <w:jc w:val="both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Total</w:t>
            </w:r>
          </w:p>
        </w:tc>
        <w:tc>
          <w:tcPr>
            <w:tcW w:w="23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BE5F1"/>
            <w:vAlign w:val="bottom"/>
          </w:tcPr>
          <w:p w:rsidR="00385D7D" w:rsidRPr="00385D7D" w:rsidRDefault="00385D7D" w:rsidP="00257387">
            <w:pPr>
              <w:spacing w:after="0" w:line="230" w:lineRule="exact"/>
              <w:ind w:right="194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95</w:t>
            </w:r>
          </w:p>
        </w:tc>
        <w:tc>
          <w:tcPr>
            <w:tcW w:w="24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BE5F1"/>
            <w:vAlign w:val="bottom"/>
          </w:tcPr>
          <w:p w:rsidR="00385D7D" w:rsidRPr="00385D7D" w:rsidRDefault="00385D7D" w:rsidP="00257387">
            <w:pPr>
              <w:spacing w:after="0" w:line="230" w:lineRule="exact"/>
              <w:ind w:left="10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32</w:t>
            </w:r>
          </w:p>
        </w:tc>
      </w:tr>
      <w:tr w:rsidR="00385D7D" w:rsidRPr="00385D7D" w:rsidTr="00637181">
        <w:trPr>
          <w:trHeight w:val="233"/>
        </w:trPr>
        <w:tc>
          <w:tcPr>
            <w:tcW w:w="10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240" w:type="dxa"/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0" w:lineRule="exact"/>
              <w:ind w:left="100"/>
              <w:jc w:val="both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England</w:t>
            </w:r>
          </w:p>
        </w:tc>
        <w:tc>
          <w:tcPr>
            <w:tcW w:w="23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0" w:lineRule="exact"/>
              <w:ind w:right="194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57</w:t>
            </w:r>
          </w:p>
        </w:tc>
        <w:tc>
          <w:tcPr>
            <w:tcW w:w="24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0" w:lineRule="exact"/>
              <w:ind w:left="10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27</w:t>
            </w:r>
          </w:p>
        </w:tc>
      </w:tr>
      <w:tr w:rsidR="00385D7D" w:rsidRPr="00385D7D" w:rsidTr="00637181">
        <w:trPr>
          <w:trHeight w:val="237"/>
        </w:trPr>
        <w:tc>
          <w:tcPr>
            <w:tcW w:w="10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240" w:type="dxa"/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6" w:lineRule="exact"/>
              <w:jc w:val="both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Tidal range: barrage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2" w:lineRule="exact"/>
              <w:ind w:left="100"/>
              <w:jc w:val="both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Wales</w:t>
            </w:r>
          </w:p>
        </w:tc>
        <w:tc>
          <w:tcPr>
            <w:tcW w:w="23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2" w:lineRule="exact"/>
              <w:ind w:right="194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23</w:t>
            </w:r>
          </w:p>
        </w:tc>
        <w:tc>
          <w:tcPr>
            <w:tcW w:w="24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2" w:lineRule="exact"/>
              <w:ind w:left="10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8</w:t>
            </w:r>
          </w:p>
        </w:tc>
      </w:tr>
      <w:tr w:rsidR="00385D7D" w:rsidRPr="00385D7D" w:rsidTr="00637181">
        <w:trPr>
          <w:trHeight w:val="231"/>
        </w:trPr>
        <w:tc>
          <w:tcPr>
            <w:tcW w:w="10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240" w:type="dxa"/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22" w:lineRule="exact"/>
              <w:jc w:val="both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schemes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27" w:lineRule="exact"/>
              <w:ind w:left="100"/>
              <w:jc w:val="both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Scotland</w:t>
            </w:r>
          </w:p>
        </w:tc>
        <w:tc>
          <w:tcPr>
            <w:tcW w:w="23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27" w:lineRule="exact"/>
              <w:ind w:right="194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16</w:t>
            </w:r>
          </w:p>
        </w:tc>
        <w:tc>
          <w:tcPr>
            <w:tcW w:w="24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27" w:lineRule="exact"/>
              <w:ind w:left="10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10</w:t>
            </w:r>
          </w:p>
        </w:tc>
      </w:tr>
      <w:tr w:rsidR="00385D7D" w:rsidRPr="00385D7D" w:rsidTr="00637181">
        <w:trPr>
          <w:trHeight w:val="236"/>
        </w:trPr>
        <w:tc>
          <w:tcPr>
            <w:tcW w:w="100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24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BE5F1"/>
            <w:vAlign w:val="bottom"/>
          </w:tcPr>
          <w:p w:rsidR="00385D7D" w:rsidRPr="00385D7D" w:rsidRDefault="00385D7D" w:rsidP="00257387">
            <w:pPr>
              <w:spacing w:after="0" w:line="230" w:lineRule="exact"/>
              <w:ind w:left="100"/>
              <w:jc w:val="both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Total</w:t>
            </w:r>
          </w:p>
        </w:tc>
        <w:tc>
          <w:tcPr>
            <w:tcW w:w="23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BE5F1"/>
            <w:vAlign w:val="bottom"/>
          </w:tcPr>
          <w:p w:rsidR="00385D7D" w:rsidRPr="00385D7D" w:rsidRDefault="00385D7D" w:rsidP="00257387">
            <w:pPr>
              <w:spacing w:after="0" w:line="230" w:lineRule="exact"/>
              <w:ind w:right="194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96</w:t>
            </w:r>
          </w:p>
        </w:tc>
        <w:tc>
          <w:tcPr>
            <w:tcW w:w="24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BE5F1"/>
            <w:vAlign w:val="bottom"/>
          </w:tcPr>
          <w:p w:rsidR="00385D7D" w:rsidRPr="00385D7D" w:rsidRDefault="00385D7D" w:rsidP="00257387">
            <w:pPr>
              <w:spacing w:after="0" w:line="230" w:lineRule="exact"/>
              <w:ind w:left="10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45</w:t>
            </w:r>
          </w:p>
        </w:tc>
      </w:tr>
      <w:tr w:rsidR="00385D7D" w:rsidRPr="00385D7D" w:rsidTr="00637181">
        <w:trPr>
          <w:trHeight w:val="233"/>
        </w:trPr>
        <w:tc>
          <w:tcPr>
            <w:tcW w:w="10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240" w:type="dxa"/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29" w:lineRule="exact"/>
              <w:ind w:left="100"/>
              <w:jc w:val="both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England</w:t>
            </w:r>
          </w:p>
        </w:tc>
        <w:tc>
          <w:tcPr>
            <w:tcW w:w="23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29" w:lineRule="exact"/>
              <w:ind w:right="194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14</w:t>
            </w:r>
          </w:p>
        </w:tc>
        <w:tc>
          <w:tcPr>
            <w:tcW w:w="24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29" w:lineRule="exact"/>
              <w:ind w:left="10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8</w:t>
            </w:r>
          </w:p>
        </w:tc>
      </w:tr>
      <w:tr w:rsidR="00385D7D" w:rsidRPr="00385D7D" w:rsidTr="00637181">
        <w:trPr>
          <w:trHeight w:val="236"/>
        </w:trPr>
        <w:tc>
          <w:tcPr>
            <w:tcW w:w="10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240" w:type="dxa"/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5" w:lineRule="exact"/>
              <w:jc w:val="both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Tidal range: lagoon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0" w:lineRule="exact"/>
              <w:ind w:left="100"/>
              <w:jc w:val="both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Wales</w:t>
            </w:r>
          </w:p>
        </w:tc>
        <w:tc>
          <w:tcPr>
            <w:tcW w:w="23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0" w:lineRule="exact"/>
              <w:ind w:left="10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7</w:t>
            </w:r>
          </w:p>
        </w:tc>
        <w:tc>
          <w:tcPr>
            <w:tcW w:w="24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0" w:lineRule="exact"/>
              <w:ind w:left="10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3.5</w:t>
            </w:r>
          </w:p>
        </w:tc>
      </w:tr>
      <w:tr w:rsidR="00385D7D" w:rsidRPr="00385D7D" w:rsidTr="00637181">
        <w:trPr>
          <w:trHeight w:val="234"/>
        </w:trPr>
        <w:tc>
          <w:tcPr>
            <w:tcW w:w="10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240" w:type="dxa"/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25" w:lineRule="exact"/>
              <w:jc w:val="both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schemes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0" w:lineRule="exact"/>
              <w:ind w:left="100"/>
              <w:jc w:val="both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Scotland</w:t>
            </w:r>
          </w:p>
        </w:tc>
        <w:tc>
          <w:tcPr>
            <w:tcW w:w="23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0" w:lineRule="exact"/>
              <w:ind w:left="10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4</w:t>
            </w:r>
          </w:p>
        </w:tc>
        <w:tc>
          <w:tcPr>
            <w:tcW w:w="24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230" w:lineRule="exact"/>
              <w:ind w:left="10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2.5</w:t>
            </w:r>
          </w:p>
        </w:tc>
      </w:tr>
      <w:tr w:rsidR="00385D7D" w:rsidRPr="00385D7D" w:rsidTr="00637181">
        <w:trPr>
          <w:trHeight w:val="234"/>
        </w:trPr>
        <w:tc>
          <w:tcPr>
            <w:tcW w:w="100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24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85D7D" w:rsidRPr="00385D7D" w:rsidRDefault="00385D7D" w:rsidP="00257387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0"/>
                <w:szCs w:val="20"/>
                <w:lang w:eastAsia="en-GB"/>
              </w:rPr>
            </w:pPr>
          </w:p>
        </w:tc>
        <w:tc>
          <w:tcPr>
            <w:tcW w:w="2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BE5F1"/>
            <w:vAlign w:val="bottom"/>
          </w:tcPr>
          <w:p w:rsidR="00385D7D" w:rsidRPr="00385D7D" w:rsidRDefault="00385D7D" w:rsidP="00257387">
            <w:pPr>
              <w:spacing w:after="0" w:line="230" w:lineRule="exact"/>
              <w:ind w:left="100"/>
              <w:jc w:val="both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Total</w:t>
            </w:r>
          </w:p>
        </w:tc>
        <w:tc>
          <w:tcPr>
            <w:tcW w:w="23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BE5F1"/>
            <w:vAlign w:val="bottom"/>
          </w:tcPr>
          <w:p w:rsidR="00385D7D" w:rsidRPr="00385D7D" w:rsidRDefault="00385D7D" w:rsidP="00257387">
            <w:pPr>
              <w:spacing w:after="0" w:line="230" w:lineRule="exact"/>
              <w:ind w:right="194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25</w:t>
            </w:r>
          </w:p>
        </w:tc>
        <w:tc>
          <w:tcPr>
            <w:tcW w:w="24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BE5F1"/>
            <w:vAlign w:val="bottom"/>
          </w:tcPr>
          <w:p w:rsidR="00385D7D" w:rsidRPr="00385D7D" w:rsidRDefault="00385D7D" w:rsidP="00257387">
            <w:pPr>
              <w:spacing w:after="0" w:line="230" w:lineRule="exact"/>
              <w:ind w:left="100"/>
              <w:rPr>
                <w:rFonts w:ascii="Calibri" w:eastAsia="Calibri" w:hAnsi="Calibri" w:cs="Arial"/>
                <w:sz w:val="20"/>
                <w:szCs w:val="20"/>
                <w:lang w:eastAsia="en-GB"/>
              </w:rPr>
            </w:pPr>
            <w:r w:rsidRPr="00385D7D">
              <w:rPr>
                <w:rFonts w:ascii="Calibri" w:eastAsia="Calibri" w:hAnsi="Calibri" w:cs="Arial"/>
                <w:sz w:val="20"/>
                <w:szCs w:val="20"/>
                <w:lang w:eastAsia="en-GB"/>
              </w:rPr>
              <w:t>14</w:t>
            </w:r>
          </w:p>
        </w:tc>
      </w:tr>
    </w:tbl>
    <w:p w:rsidR="00385D7D" w:rsidRDefault="00216154" w:rsidP="00257387">
      <w:pPr>
        <w:jc w:val="both"/>
      </w:pPr>
      <w:r>
        <w:t xml:space="preserve">Source: </w:t>
      </w:r>
      <w:sdt>
        <w:sdtPr>
          <w:id w:val="1103459259"/>
          <w:citation/>
        </w:sdtPr>
        <w:sdtContent>
          <w:r>
            <w:fldChar w:fldCharType="begin"/>
          </w:r>
          <w:r>
            <w:instrText xml:space="preserve"> CITATION The12 \l 2057 </w:instrText>
          </w:r>
          <w:r>
            <w:fldChar w:fldCharType="separate"/>
          </w:r>
          <w:r>
            <w:rPr>
              <w:noProof/>
            </w:rPr>
            <w:t>(The Crown Estate, 2012)</w:t>
          </w:r>
          <w:r>
            <w:fldChar w:fldCharType="end"/>
          </w:r>
        </w:sdtContent>
      </w:sdt>
    </w:p>
    <w:p w:rsidR="0091489C" w:rsidRDefault="0091489C" w:rsidP="00257387">
      <w:pPr>
        <w:jc w:val="both"/>
      </w:pPr>
    </w:p>
    <w:p w:rsidR="0091489C" w:rsidRDefault="0091489C" w:rsidP="00257387">
      <w:pPr>
        <w:jc w:val="both"/>
      </w:pPr>
      <w:r>
        <w:t xml:space="preserve">To date, the Crown Estate which is responsible for granting leasing areas on the UK seabed </w:t>
      </w:r>
      <w:r w:rsidR="00257387">
        <w:t>has leased 30 UK tidal st</w:t>
      </w:r>
      <w:r w:rsidR="00406CEC">
        <w:t>r</w:t>
      </w:r>
      <w:r w:rsidR="00257387">
        <w:t>eam sites, 17 o</w:t>
      </w:r>
      <w:r w:rsidR="00126E9D">
        <w:t>f which are located in Scotland, 9 of which are located further north of Scotland which is projected to have the</w:t>
      </w:r>
      <w:r w:rsidR="00BB661A">
        <w:t xml:space="preserve"> largest tidal energy potential </w:t>
      </w:r>
      <w:sdt>
        <w:sdtPr>
          <w:id w:val="1892995230"/>
          <w:citation/>
        </w:sdtPr>
        <w:sdtContent>
          <w:r w:rsidR="00BB661A">
            <w:fldChar w:fldCharType="begin"/>
          </w:r>
          <w:r w:rsidR="00BB661A">
            <w:instrText xml:space="preserve"> CITATION Nei17 \l 2057 </w:instrText>
          </w:r>
          <w:r w:rsidR="00BB661A">
            <w:fldChar w:fldCharType="separate"/>
          </w:r>
          <w:r w:rsidR="00BB661A">
            <w:rPr>
              <w:noProof/>
            </w:rPr>
            <w:t>(Neill, et al., 2017)</w:t>
          </w:r>
          <w:r w:rsidR="00BB661A">
            <w:fldChar w:fldCharType="end"/>
          </w:r>
        </w:sdtContent>
      </w:sdt>
      <w:r w:rsidR="00D10E3D">
        <w:t>.</w:t>
      </w:r>
    </w:p>
    <w:p w:rsidR="00D10E3D" w:rsidRDefault="00D10E3D" w:rsidP="00257387">
      <w:pPr>
        <w:jc w:val="both"/>
      </w:pPr>
    </w:p>
    <w:p w:rsidR="00D10E3D" w:rsidRPr="00B37FC9" w:rsidRDefault="00D10E3D" w:rsidP="00257387">
      <w:pPr>
        <w:jc w:val="both"/>
        <w:rPr>
          <w:u w:val="single"/>
        </w:rPr>
      </w:pPr>
      <w:r w:rsidRPr="00B37FC9">
        <w:rPr>
          <w:u w:val="single"/>
        </w:rPr>
        <w:lastRenderedPageBreak/>
        <w:t>Types of Tidal Energy Technologies</w:t>
      </w:r>
    </w:p>
    <w:p w:rsidR="00FB08CA" w:rsidRDefault="00862FE6" w:rsidP="00257387">
      <w:pPr>
        <w:jc w:val="both"/>
      </w:pPr>
      <w:r>
        <w:t>Tidal energy can be harnessed in a number of configurations. They</w:t>
      </w:r>
      <w:r w:rsidR="00FB08CA">
        <w:t xml:space="preserve"> falls broadly into two main </w:t>
      </w:r>
      <w:r w:rsidR="00194BC9">
        <w:t>categories namely:</w:t>
      </w:r>
    </w:p>
    <w:p w:rsidR="003E71AD" w:rsidRDefault="003E71AD" w:rsidP="003E71AD">
      <w:pPr>
        <w:pStyle w:val="ListParagraph"/>
        <w:numPr>
          <w:ilvl w:val="0"/>
          <w:numId w:val="2"/>
        </w:numPr>
        <w:jc w:val="both"/>
      </w:pPr>
      <w:r>
        <w:t>Tidal Steam Energy: This comprises energy associated with tide ebbs and floods which manifests itself as a tidal current. Tidal steam devices extract energy from this current to produce electricity.</w:t>
      </w:r>
      <w:bookmarkStart w:id="0" w:name="_GoBack"/>
      <w:bookmarkEnd w:id="0"/>
    </w:p>
    <w:p w:rsidR="003E71AD" w:rsidRDefault="00EC7773" w:rsidP="003E71AD">
      <w:pPr>
        <w:pStyle w:val="ListParagraph"/>
        <w:numPr>
          <w:ilvl w:val="0"/>
          <w:numId w:val="2"/>
        </w:numPr>
        <w:jc w:val="both"/>
      </w:pPr>
      <w:r>
        <w:t xml:space="preserve">Tidal Range Technologies: </w:t>
      </w:r>
      <w:r w:rsidR="00113B4C">
        <w:t xml:space="preserve">these devices ‘capture’ </w:t>
      </w:r>
      <w:r w:rsidR="00940806">
        <w:t>t</w:t>
      </w:r>
      <w:r w:rsidR="00D2058D">
        <w:t>he incoming water from the rising tide in artificial lagoons or barrages. Turbines located within the barrage or lagoon capture energy as the tide</w:t>
      </w:r>
      <w:r w:rsidR="003A6EDB">
        <w:t xml:space="preserve"> floods back into the reservoir </w:t>
      </w:r>
      <w:sdt>
        <w:sdtPr>
          <w:id w:val="460765539"/>
          <w:citation/>
        </w:sdtPr>
        <w:sdtContent>
          <w:r w:rsidR="003A6EDB">
            <w:fldChar w:fldCharType="begin"/>
          </w:r>
          <w:r w:rsidR="003A6EDB">
            <w:instrText xml:space="preserve"> CITATION Hin18 \l 2057 </w:instrText>
          </w:r>
          <w:r w:rsidR="003A6EDB">
            <w:fldChar w:fldCharType="separate"/>
          </w:r>
          <w:r w:rsidR="003A6EDB">
            <w:rPr>
              <w:noProof/>
            </w:rPr>
            <w:t>(Hinson, 2018)</w:t>
          </w:r>
          <w:r w:rsidR="003A6EDB">
            <w:fldChar w:fldCharType="end"/>
          </w:r>
        </w:sdtContent>
      </w:sdt>
    </w:p>
    <w:p w:rsidR="00E545B9" w:rsidRDefault="00E545B9" w:rsidP="00E545B9">
      <w:pPr>
        <w:jc w:val="both"/>
      </w:pP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-296545</wp:posOffset>
            </wp:positionH>
            <wp:positionV relativeFrom="paragraph">
              <wp:posOffset>352425</wp:posOffset>
            </wp:positionV>
            <wp:extent cx="3111500" cy="4891405"/>
            <wp:effectExtent l="0" t="0" r="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489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</w:t>
      </w:r>
    </w:p>
    <w:p w:rsidR="00276B73" w:rsidRDefault="00B71439" w:rsidP="005A5C17">
      <w:pPr>
        <w:ind w:left="360"/>
        <w:jc w:val="both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574342" wp14:editId="47BC26E0">
                <wp:simplePos x="0" y="0"/>
                <wp:positionH relativeFrom="column">
                  <wp:posOffset>3971925</wp:posOffset>
                </wp:positionH>
                <wp:positionV relativeFrom="paragraph">
                  <wp:posOffset>2867025</wp:posOffset>
                </wp:positionV>
                <wp:extent cx="257175" cy="200025"/>
                <wp:effectExtent l="57150" t="19050" r="66675" b="1238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4CA8F" id="Rectangle 8" o:spid="_x0000_s1026" style="position:absolute;margin-left:312.75pt;margin-top:225.75pt;width:20.25pt;height:15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" filled="f" strokecolor="black [3213]" strokeweight="1pt">
                <v:shadow on="t" color="black" opacity="26214f" origin=",-.5" offset="0,3pt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2906395</wp:posOffset>
                </wp:positionV>
                <wp:extent cx="257175" cy="200025"/>
                <wp:effectExtent l="57150" t="19050" r="66675" b="1238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0E830" id="Rectangle 7" o:spid="_x0000_s1026" style="position:absolute;margin-left:84pt;margin-top:228.85pt;width:20.2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" filled="f" strokecolor="black [3213]" strokeweight="1pt">
                <v:shadow on="t" color="black" opacity="26214f" origin=",-.5" offset="0,3pt"/>
              </v:rect>
            </w:pict>
          </mc:Fallback>
        </mc:AlternateContent>
      </w:r>
      <w:r w:rsidR="00E545B9">
        <w:t xml:space="preserve">                                                                                  </w:t>
      </w:r>
      <w:r w:rsidR="00E545B9">
        <w:rPr>
          <w:noProof/>
          <w:lang w:eastAsia="en-GB"/>
        </w:rPr>
        <w:drawing>
          <wp:inline distT="0" distB="0" distL="0" distR="0">
            <wp:extent cx="2867025" cy="491998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295" cy="496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C17">
        <w:t xml:space="preserve">Figure (a) (left) &amp; Figure (b) (right) depicting the tidal stream and tidal range energy potential in Scottish Waters. </w:t>
      </w:r>
      <w:r w:rsidR="00276B73">
        <w:t xml:space="preserve">Source: </w:t>
      </w:r>
      <w:sdt>
        <w:sdtPr>
          <w:id w:val="-2067637106"/>
          <w:citation/>
        </w:sdtPr>
        <w:sdtContent>
          <w:r w:rsidR="00276B73">
            <w:fldChar w:fldCharType="begin"/>
          </w:r>
          <w:r w:rsidR="00276B73">
            <w:instrText xml:space="preserve"> CITATION Nei17 \l 2057 </w:instrText>
          </w:r>
          <w:r w:rsidR="00276B73">
            <w:fldChar w:fldCharType="separate"/>
          </w:r>
          <w:r w:rsidR="00276B73">
            <w:rPr>
              <w:noProof/>
            </w:rPr>
            <w:t>(Neill, et al., 2017)</w:t>
          </w:r>
          <w:r w:rsidR="00276B73">
            <w:fldChar w:fldCharType="end"/>
          </w:r>
        </w:sdtContent>
      </w:sdt>
      <w:r w:rsidR="005A5C17">
        <w:t>.</w:t>
      </w:r>
    </w:p>
    <w:p w:rsidR="00276B73" w:rsidRDefault="00276B73" w:rsidP="00276B73">
      <w:pPr>
        <w:ind w:left="360"/>
        <w:jc w:val="both"/>
      </w:pPr>
    </w:p>
    <w:p w:rsidR="00276B73" w:rsidRDefault="002D7CEC" w:rsidP="00276B73">
      <w:pPr>
        <w:ind w:left="360"/>
        <w:jc w:val="both"/>
      </w:pPr>
      <w:r>
        <w:t xml:space="preserve">Figure (a) </w:t>
      </w:r>
      <w:r w:rsidR="00276B73">
        <w:t xml:space="preserve">above indicates the distribution of tidal stream currents around the </w:t>
      </w:r>
      <w:r w:rsidR="00D95EED">
        <w:t>Scottish</w:t>
      </w:r>
      <w:r w:rsidR="00276B73">
        <w:t xml:space="preserve"> seaboard. The highest potential for tidal stream technologies exist in the North of Scotland in areas around the </w:t>
      </w:r>
      <w:proofErr w:type="spellStart"/>
      <w:r w:rsidR="00276B73">
        <w:t>Pentland</w:t>
      </w:r>
      <w:proofErr w:type="spellEnd"/>
      <w:r w:rsidR="00276B73">
        <w:t xml:space="preserve"> Firth region, Orkney &amp; Shetland. </w:t>
      </w:r>
      <w:r w:rsidR="00651E0A">
        <w:t xml:space="preserve">Tidal stream currents in these areas frequently exceed 2.5 m/s. In the areas around the Island of Great </w:t>
      </w:r>
      <w:proofErr w:type="spellStart"/>
      <w:r w:rsidR="00651E0A">
        <w:t>Cumbrae</w:t>
      </w:r>
      <w:proofErr w:type="spellEnd"/>
      <w:r w:rsidR="00651E0A">
        <w:t xml:space="preserve"> (highlighted with a small </w:t>
      </w:r>
      <w:r w:rsidR="008910D3">
        <w:t>rectangle</w:t>
      </w:r>
      <w:r w:rsidR="00651E0A">
        <w:t xml:space="preserve">), tidal stream currents rarely exceed 1m/s. Since power generated is a function of the </w:t>
      </w:r>
      <w:r w:rsidR="00651E0A">
        <w:lastRenderedPageBreak/>
        <w:t xml:space="preserve">velocity cubed, the tidal stream resource available in </w:t>
      </w:r>
      <w:r w:rsidR="0050572D">
        <w:t xml:space="preserve">the North of Scotland far exceeds that available </w:t>
      </w:r>
      <w:r w:rsidR="00F0714C">
        <w:t xml:space="preserve">on the Island of Great </w:t>
      </w:r>
      <w:proofErr w:type="spellStart"/>
      <w:r w:rsidR="00F0714C">
        <w:t>Cumbrae</w:t>
      </w:r>
      <w:proofErr w:type="spellEnd"/>
      <w:r w:rsidR="00F0714C">
        <w:t>. Similarly, f</w:t>
      </w:r>
      <w:r>
        <w:t xml:space="preserve">igure (b) above highlights the </w:t>
      </w:r>
      <w:r w:rsidR="00D95EED">
        <w:t xml:space="preserve">tidal range potential around </w:t>
      </w:r>
      <w:r w:rsidR="00F0714C">
        <w:t xml:space="preserve">Scottish waters. The mean spring tidal range in Scotland typically ranges from 3-4 m but exceeds 7 m in the Solway Firth </w:t>
      </w:r>
      <w:sdt>
        <w:sdtPr>
          <w:id w:val="1885446426"/>
          <w:citation/>
        </w:sdtPr>
        <w:sdtContent>
          <w:r w:rsidR="00F0714C">
            <w:fldChar w:fldCharType="begin"/>
          </w:r>
          <w:r w:rsidR="00F0714C">
            <w:instrText xml:space="preserve"> CITATION Nei17 \l 2057 </w:instrText>
          </w:r>
          <w:r w:rsidR="00F0714C">
            <w:fldChar w:fldCharType="separate"/>
          </w:r>
          <w:r w:rsidR="00F0714C">
            <w:rPr>
              <w:noProof/>
            </w:rPr>
            <w:t>(Neill, et al., 2017)</w:t>
          </w:r>
          <w:r w:rsidR="00F0714C">
            <w:fldChar w:fldCharType="end"/>
          </w:r>
        </w:sdtContent>
      </w:sdt>
      <w:r w:rsidR="00F0714C">
        <w:t xml:space="preserve">. The greater potentials for extracting energy from tidal range </w:t>
      </w:r>
      <w:r w:rsidR="00671929">
        <w:t xml:space="preserve">are highlighted in yellow on these maps. As can be clearly seen on these maps, the Island of Great </w:t>
      </w:r>
      <w:proofErr w:type="spellStart"/>
      <w:r w:rsidR="00671929">
        <w:t>Cumbrae</w:t>
      </w:r>
      <w:proofErr w:type="spellEnd"/>
      <w:r w:rsidR="00671929">
        <w:t xml:space="preserve"> has very limited potential to harness </w:t>
      </w:r>
      <w:r w:rsidR="000A036A">
        <w:t xml:space="preserve">energy from tidal range technologies as well. </w:t>
      </w:r>
      <w:r w:rsidR="00720E22">
        <w:t xml:space="preserve">Most of this resource is similarly concentrated further </w:t>
      </w:r>
      <w:r w:rsidR="00032670">
        <w:t>north</w:t>
      </w:r>
      <w:r w:rsidR="00720E22">
        <w:t xml:space="preserve"> of the region.  </w:t>
      </w:r>
    </w:p>
    <w:p w:rsidR="00D33C8B" w:rsidRDefault="00D33C8B" w:rsidP="00276B73">
      <w:pPr>
        <w:ind w:left="360"/>
        <w:jc w:val="both"/>
      </w:pPr>
    </w:p>
    <w:p w:rsidR="00D33C8B" w:rsidRPr="00D33C8B" w:rsidRDefault="00D33C8B" w:rsidP="00276B73">
      <w:pPr>
        <w:ind w:left="360"/>
        <w:jc w:val="both"/>
        <w:rPr>
          <w:u w:val="single"/>
        </w:rPr>
      </w:pPr>
      <w:r w:rsidRPr="00D33C8B">
        <w:rPr>
          <w:u w:val="single"/>
        </w:rPr>
        <w:t>Economic &amp; Financial Issues</w:t>
      </w:r>
    </w:p>
    <w:p w:rsidR="0068791C" w:rsidRDefault="00636F61" w:rsidP="00276B73">
      <w:pPr>
        <w:ind w:left="360"/>
        <w:jc w:val="both"/>
      </w:pPr>
      <w:r>
        <w:t xml:space="preserve">The economic viability of tidal energy resource exploitation is contingent on the power density of the resource available in the area of interest. </w:t>
      </w:r>
      <w:r w:rsidR="00F90060">
        <w:t xml:space="preserve">As demonstrated by figure’s (a) &amp; (b) above, The Island of Great </w:t>
      </w:r>
      <w:proofErr w:type="spellStart"/>
      <w:r w:rsidR="00F90060">
        <w:t>Cumbrae</w:t>
      </w:r>
      <w:proofErr w:type="spellEnd"/>
      <w:r w:rsidR="00F90060">
        <w:t xml:space="preserve"> is situated in an area of low energy densities, with tidal stream velocities reaching only 1 m/s. </w:t>
      </w:r>
      <w:r w:rsidR="000C1BBF">
        <w:t>From past research and investment attempts, this stream velocity is not considered economically viab</w:t>
      </w:r>
      <w:r w:rsidR="00816DFD">
        <w:t xml:space="preserve">le for tidal stream conversion </w:t>
      </w:r>
      <w:sdt>
        <w:sdtPr>
          <w:id w:val="-1054843489"/>
          <w:citation/>
        </w:sdtPr>
        <w:sdtContent>
          <w:r w:rsidR="00816DFD">
            <w:fldChar w:fldCharType="begin"/>
          </w:r>
          <w:r w:rsidR="00816DFD">
            <w:instrText xml:space="preserve"> CITATION Nei17 \l 2057 </w:instrText>
          </w:r>
          <w:r w:rsidR="00816DFD">
            <w:fldChar w:fldCharType="separate"/>
          </w:r>
          <w:r w:rsidR="00816DFD">
            <w:rPr>
              <w:noProof/>
            </w:rPr>
            <w:t>(Neill, et al., 2017)</w:t>
          </w:r>
          <w:r w:rsidR="00816DFD">
            <w:fldChar w:fldCharType="end"/>
          </w:r>
        </w:sdtContent>
      </w:sdt>
      <w:r w:rsidR="00816DFD">
        <w:t>.</w:t>
      </w:r>
      <w:r w:rsidR="006B2902">
        <w:t xml:space="preserve"> Also as evidenced by similarly ongoing tidal range projects like that being considered on the Severn Estuary, </w:t>
      </w:r>
      <w:r w:rsidR="006E4814">
        <w:t>the capital costs of these projects run into the millions with that of the Cardiff-Weston barrage proposal</w:t>
      </w:r>
      <w:r w:rsidR="004D5EEB">
        <w:t xml:space="preserve"> on the Severn Estuary</w:t>
      </w:r>
      <w:r w:rsidR="006E4814">
        <w:t xml:space="preserve"> estimated at </w:t>
      </w:r>
      <w:r w:rsidR="006E4814" w:rsidRPr="006E4814">
        <w:rPr>
          <w:rFonts w:cs="Arial"/>
          <w:color w:val="222222"/>
          <w:shd w:val="clear" w:color="auto" w:fill="FFFFFF"/>
        </w:rPr>
        <w:t>£</w:t>
      </w:r>
      <w:r w:rsidR="006E4814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6E4814">
        <w:t>15.066 million.</w:t>
      </w:r>
      <w:r w:rsidR="00E32FB8">
        <w:t xml:space="preserve"> This alongside the long construction times</w:t>
      </w:r>
      <w:r w:rsidR="00F06E77">
        <w:t xml:space="preserve"> (7 years in the case of the Cardiff-Weston Scheme)</w:t>
      </w:r>
      <w:r w:rsidR="00E32FB8">
        <w:t xml:space="preserve"> and long delay before revenue generation accrues large interest payments even before the project can break even.</w:t>
      </w:r>
      <w:r w:rsidR="007A478C">
        <w:t xml:space="preserve"> This makes any tidal range pr</w:t>
      </w:r>
      <w:r w:rsidR="00E629D1">
        <w:t xml:space="preserve">oject highly capital intensive </w:t>
      </w:r>
      <w:sdt>
        <w:sdtPr>
          <w:id w:val="-1014994500"/>
          <w:citation/>
        </w:sdtPr>
        <w:sdtContent>
          <w:r w:rsidR="00E629D1">
            <w:fldChar w:fldCharType="begin"/>
          </w:r>
          <w:r w:rsidR="00E629D1">
            <w:instrText xml:space="preserve"> CITATION Sus07 \l 2057 </w:instrText>
          </w:r>
          <w:r w:rsidR="00E629D1">
            <w:fldChar w:fldCharType="separate"/>
          </w:r>
          <w:r w:rsidR="00E629D1">
            <w:rPr>
              <w:noProof/>
            </w:rPr>
            <w:t>(Sustainable Development Commission, 2007)</w:t>
          </w:r>
          <w:r w:rsidR="00E629D1">
            <w:fldChar w:fldCharType="end"/>
          </w:r>
        </w:sdtContent>
      </w:sdt>
      <w:r w:rsidR="00E629D1">
        <w:t>.</w:t>
      </w:r>
      <w:r w:rsidR="0052596B">
        <w:t xml:space="preserve"> A report from the Carbon Trust on the cost </w:t>
      </w:r>
      <w:r w:rsidR="000D6CB9">
        <w:t>competitiveness</w:t>
      </w:r>
      <w:r w:rsidR="0052596B">
        <w:t xml:space="preserve"> of tidal stream technologies estimates the tidal stream technologies to have cost of energies between 9p/KWh and 18p/KWh, costs which are much higher than conventional power and renewable power generation</w:t>
      </w:r>
      <w:r w:rsidR="00FB089A">
        <w:t xml:space="preserve"> prices</w:t>
      </w:r>
      <w:r w:rsidR="000301C6">
        <w:t>.</w:t>
      </w:r>
    </w:p>
    <w:p w:rsidR="006631E6" w:rsidRDefault="006631E6" w:rsidP="00276B73">
      <w:pPr>
        <w:ind w:left="360"/>
        <w:jc w:val="both"/>
        <w:rPr>
          <w:u w:val="single"/>
        </w:rPr>
      </w:pPr>
      <w:r w:rsidRPr="006631E6">
        <w:rPr>
          <w:u w:val="single"/>
        </w:rPr>
        <w:t xml:space="preserve">Environmental </w:t>
      </w:r>
      <w:r w:rsidR="00A3129B">
        <w:rPr>
          <w:u w:val="single"/>
        </w:rPr>
        <w:t>Challenges</w:t>
      </w:r>
    </w:p>
    <w:p w:rsidR="00753916" w:rsidRDefault="002D21A5" w:rsidP="00276B73">
      <w:pPr>
        <w:ind w:left="360"/>
        <w:jc w:val="both"/>
      </w:pPr>
      <w:r>
        <w:t xml:space="preserve">Significant concerns have been raised about the environmental issues surrounding tidal energy exploitation. </w:t>
      </w:r>
      <w:r w:rsidR="00997969">
        <w:t xml:space="preserve">Interest groups such as the South &amp; West Wales Wildlife Trust have expressed concerns over the scale of tidal lagoon projects and its potential impact on biodiversity. </w:t>
      </w:r>
      <w:r w:rsidR="00997969" w:rsidRPr="00997969">
        <w:t>The Angling Trust and Fish Legal have called for more scrutiny of the potential impact of the lagoon on the marine environment and the migratory fish present in Swansea Bay</w:t>
      </w:r>
      <w:r w:rsidR="00997969">
        <w:t xml:space="preserve">. Other concerns raised include the potential for non-native species to be introduced as a result of any attempt to build a seawall, the detrimental impact on marine animals due to construction in these </w:t>
      </w:r>
      <w:r w:rsidR="00073D6D">
        <w:t>water bodies and</w:t>
      </w:r>
      <w:r w:rsidR="008B22B7">
        <w:t xml:space="preserve"> </w:t>
      </w:r>
      <w:r w:rsidR="00073D6D">
        <w:t xml:space="preserve">the impact of migratory fish as they pass through active underwater turbines </w:t>
      </w:r>
      <w:sdt>
        <w:sdtPr>
          <w:id w:val="1025679831"/>
          <w:citation/>
        </w:sdtPr>
        <w:sdtContent>
          <w:r w:rsidR="00672EF8">
            <w:fldChar w:fldCharType="begin"/>
          </w:r>
          <w:r w:rsidR="00672EF8">
            <w:instrText xml:space="preserve"> CITATION Hin18 \l 2057 </w:instrText>
          </w:r>
          <w:r w:rsidR="00672EF8">
            <w:fldChar w:fldCharType="separate"/>
          </w:r>
          <w:r w:rsidR="00672EF8">
            <w:rPr>
              <w:noProof/>
            </w:rPr>
            <w:t>(Hinson, 2018)</w:t>
          </w:r>
          <w:r w:rsidR="00672EF8">
            <w:fldChar w:fldCharType="end"/>
          </w:r>
        </w:sdtContent>
      </w:sdt>
      <w:r w:rsidR="00672EF8">
        <w:t>.</w:t>
      </w:r>
    </w:p>
    <w:p w:rsidR="00460487" w:rsidRDefault="00460487" w:rsidP="00276B73">
      <w:pPr>
        <w:ind w:left="360"/>
        <w:jc w:val="both"/>
      </w:pPr>
    </w:p>
    <w:p w:rsidR="00460487" w:rsidRPr="000847A0" w:rsidRDefault="00460487" w:rsidP="00276B73">
      <w:pPr>
        <w:ind w:left="360"/>
        <w:jc w:val="both"/>
        <w:rPr>
          <w:u w:val="single"/>
        </w:rPr>
      </w:pPr>
      <w:r w:rsidRPr="000847A0">
        <w:rPr>
          <w:u w:val="single"/>
        </w:rPr>
        <w:t>Planning &amp; Leasing Requirements</w:t>
      </w:r>
    </w:p>
    <w:p w:rsidR="00A3129B" w:rsidRDefault="00FB3DF8" w:rsidP="00276B73">
      <w:pPr>
        <w:ind w:left="360"/>
        <w:jc w:val="both"/>
      </w:pPr>
      <w:r>
        <w:t>As mentioned above,</w:t>
      </w:r>
      <w:r w:rsidR="005A3D94">
        <w:t xml:space="preserve"> the Crown estate is responsible for granting leasing areas on the UK seabed and have granted a number of licenses driven at exploiting t</w:t>
      </w:r>
      <w:r w:rsidR="00854D5B">
        <w:t xml:space="preserve">idal resources off UK seaboard </w:t>
      </w:r>
      <w:sdt>
        <w:sdtPr>
          <w:id w:val="-388579836"/>
          <w:citation/>
        </w:sdtPr>
        <w:sdtContent>
          <w:r w:rsidR="00854D5B">
            <w:fldChar w:fldCharType="begin"/>
          </w:r>
          <w:r w:rsidR="00854D5B">
            <w:instrText xml:space="preserve"> CITATION Nei17 \l 2057 </w:instrText>
          </w:r>
          <w:r w:rsidR="00854D5B">
            <w:fldChar w:fldCharType="separate"/>
          </w:r>
          <w:r w:rsidR="00854D5B">
            <w:rPr>
              <w:noProof/>
            </w:rPr>
            <w:t>(Neill, et al., 2017)</w:t>
          </w:r>
          <w:r w:rsidR="00854D5B">
            <w:fldChar w:fldCharType="end"/>
          </w:r>
        </w:sdtContent>
      </w:sdt>
      <w:r w:rsidR="00854D5B">
        <w:t>. The Swansea Bay Tidal Lagoon project being developed by Tidal Lagoon Power (TLP) details typical permissions and agreements to be met</w:t>
      </w:r>
      <w:r w:rsidR="00023BC0">
        <w:t xml:space="preserve"> before tidal projects are allowed to be undertaken. </w:t>
      </w:r>
      <w:r w:rsidR="00071A6B">
        <w:t xml:space="preserve">These include </w:t>
      </w:r>
      <w:r w:rsidR="006B005E">
        <w:t xml:space="preserve">a </w:t>
      </w:r>
      <w:r w:rsidR="00071A6B">
        <w:t xml:space="preserve">Development Consent as specified in the 2008 Planning Act, </w:t>
      </w:r>
      <w:r w:rsidR="006B005E">
        <w:t xml:space="preserve">a </w:t>
      </w:r>
      <w:r w:rsidR="007F1606" w:rsidRPr="007F1606">
        <w:t>Marine licence for (</w:t>
      </w:r>
      <w:proofErr w:type="spellStart"/>
      <w:r w:rsidR="007F1606" w:rsidRPr="007F1606">
        <w:t>i</w:t>
      </w:r>
      <w:proofErr w:type="spellEnd"/>
      <w:r w:rsidR="007F1606" w:rsidRPr="007F1606">
        <w:t>) marine energy works; and (ii) to dredge and dispose of material at sea</w:t>
      </w:r>
      <w:r w:rsidR="007F1606">
        <w:t xml:space="preserve"> as contained in the Marine and Coastal Access Act 2009, </w:t>
      </w:r>
      <w:r w:rsidR="006B005E">
        <w:t>&amp; a Crown Estate Lease Agreement</w:t>
      </w:r>
      <w:r w:rsidR="00FD7DD6">
        <w:t xml:space="preserve"> </w:t>
      </w:r>
      <w:sdt>
        <w:sdtPr>
          <w:id w:val="-1821651450"/>
          <w:citation/>
        </w:sdtPr>
        <w:sdtContent>
          <w:r w:rsidR="00FD7DD6">
            <w:fldChar w:fldCharType="begin"/>
          </w:r>
          <w:r w:rsidR="00FD7DD6">
            <w:instrText xml:space="preserve"> CITATION Hin18 \l 2057 </w:instrText>
          </w:r>
          <w:r w:rsidR="00FD7DD6">
            <w:fldChar w:fldCharType="separate"/>
          </w:r>
          <w:r w:rsidR="00FD7DD6">
            <w:rPr>
              <w:noProof/>
            </w:rPr>
            <w:t>(Hinson, 2018)</w:t>
          </w:r>
          <w:r w:rsidR="00FD7DD6">
            <w:fldChar w:fldCharType="end"/>
          </w:r>
        </w:sdtContent>
      </w:sdt>
      <w:r w:rsidR="006B005E">
        <w:t>. Obtaining these licenses can lead to significant delays</w:t>
      </w:r>
      <w:r w:rsidR="00852942">
        <w:t xml:space="preserve"> (up to 3 years)</w:t>
      </w:r>
      <w:r w:rsidR="006B005E">
        <w:t xml:space="preserve"> and can hinder project </w:t>
      </w:r>
      <w:proofErr w:type="gramStart"/>
      <w:r w:rsidR="006B005E">
        <w:lastRenderedPageBreak/>
        <w:t>development</w:t>
      </w:r>
      <w:r w:rsidR="00FD7DD6">
        <w:t>.</w:t>
      </w:r>
      <w:proofErr w:type="gramEnd"/>
      <w:r w:rsidR="005D5D3D">
        <w:t xml:space="preserve"> Given the desire to implement this renewable energy project on a timely basis, our team strongly recommends tidal exploitation on these grounds as well. </w:t>
      </w:r>
    </w:p>
    <w:p w:rsidR="00501602" w:rsidRDefault="00501602" w:rsidP="00276B73">
      <w:pPr>
        <w:ind w:left="360"/>
        <w:jc w:val="both"/>
      </w:pPr>
    </w:p>
    <w:p w:rsidR="00501602" w:rsidRDefault="00501602" w:rsidP="00276B73">
      <w:pPr>
        <w:ind w:left="360"/>
        <w:jc w:val="both"/>
        <w:rPr>
          <w:u w:val="single"/>
        </w:rPr>
      </w:pPr>
      <w:r w:rsidRPr="00501602">
        <w:rPr>
          <w:u w:val="single"/>
        </w:rPr>
        <w:t>Health &amp; Safety Concerns</w:t>
      </w:r>
    </w:p>
    <w:p w:rsidR="00501602" w:rsidRDefault="000D542E" w:rsidP="00276B73">
      <w:pPr>
        <w:ind w:left="360"/>
        <w:jc w:val="both"/>
      </w:pPr>
      <w:r>
        <w:t>Several issues arise from tidal energy technology exploitation. Noise from construction, maintenance &amp; decommissioning can affect loc</w:t>
      </w:r>
      <w:r w:rsidR="00C96EF6">
        <w:t xml:space="preserve">al communities. Seabed patterns of sediment erosion, transportation and deposition are also affected </w:t>
      </w:r>
      <w:r w:rsidR="000060E2">
        <w:t xml:space="preserve">by these underwater systems. Water quality can also be significantly affected by the potential leakage of lubricants and hydraulic fluids, thereby affecting the fish fauna in the area </w:t>
      </w:r>
      <w:sdt>
        <w:sdtPr>
          <w:id w:val="399173580"/>
          <w:citation/>
        </w:sdtPr>
        <w:sdtContent>
          <w:r w:rsidR="000060E2">
            <w:fldChar w:fldCharType="begin"/>
          </w:r>
          <w:r w:rsidR="000060E2">
            <w:instrText xml:space="preserve"> CITATION Sus07 \l 2057 </w:instrText>
          </w:r>
          <w:r w:rsidR="000060E2">
            <w:fldChar w:fldCharType="separate"/>
          </w:r>
          <w:r w:rsidR="000060E2">
            <w:rPr>
              <w:noProof/>
            </w:rPr>
            <w:t>(Sustainable Development Commission, 2007)</w:t>
          </w:r>
          <w:r w:rsidR="000060E2">
            <w:fldChar w:fldCharType="end"/>
          </w:r>
        </w:sdtContent>
      </w:sdt>
      <w:r w:rsidR="000060E2">
        <w:t>.</w:t>
      </w:r>
      <w:r w:rsidR="00B277C1">
        <w:t xml:space="preserve"> Because of a lack of extensive research data on the subject, exploiting tidal energy may have several negative repercussions for the communities and habitats they play host to. </w:t>
      </w:r>
      <w:r w:rsidR="000060E2">
        <w:t xml:space="preserve"> </w:t>
      </w:r>
    </w:p>
    <w:p w:rsidR="006B2902" w:rsidRPr="00DF0040" w:rsidRDefault="00DF0040" w:rsidP="00276B73">
      <w:pPr>
        <w:ind w:left="360"/>
        <w:jc w:val="both"/>
      </w:pPr>
      <w:r>
        <w:t xml:space="preserve">These issues surrounding the development of tidal energy projects coupled with the low resource density in the Great </w:t>
      </w:r>
      <w:proofErr w:type="spellStart"/>
      <w:r>
        <w:t>Cumbrae</w:t>
      </w:r>
      <w:proofErr w:type="spellEnd"/>
      <w:r>
        <w:t xml:space="preserve"> area have informed our team not to pursue the exploitation of this resource towards the provision of power for the inhabitants of that Island. </w:t>
      </w:r>
    </w:p>
    <w:p w:rsidR="0068791C" w:rsidRDefault="0068791C" w:rsidP="00276B73">
      <w:pPr>
        <w:ind w:left="360"/>
        <w:jc w:val="both"/>
      </w:pPr>
    </w:p>
    <w:sectPr w:rsidR="006879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7B7A46"/>
    <w:multiLevelType w:val="hybridMultilevel"/>
    <w:tmpl w:val="0502A192"/>
    <w:lvl w:ilvl="0" w:tplc="EEDCEE7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CFE0DE3"/>
    <w:multiLevelType w:val="hybridMultilevel"/>
    <w:tmpl w:val="F78C52F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85D"/>
    <w:rsid w:val="000060E2"/>
    <w:rsid w:val="000231FD"/>
    <w:rsid w:val="00023BC0"/>
    <w:rsid w:val="000301C6"/>
    <w:rsid w:val="00032670"/>
    <w:rsid w:val="00046F4B"/>
    <w:rsid w:val="00071A6B"/>
    <w:rsid w:val="00073D6D"/>
    <w:rsid w:val="000847A0"/>
    <w:rsid w:val="000A036A"/>
    <w:rsid w:val="000C1BBF"/>
    <w:rsid w:val="000D542E"/>
    <w:rsid w:val="000D6CB9"/>
    <w:rsid w:val="00113B4C"/>
    <w:rsid w:val="00126E9D"/>
    <w:rsid w:val="00150774"/>
    <w:rsid w:val="00194BC9"/>
    <w:rsid w:val="00216154"/>
    <w:rsid w:val="00250A6A"/>
    <w:rsid w:val="00257387"/>
    <w:rsid w:val="00276B73"/>
    <w:rsid w:val="002B68BD"/>
    <w:rsid w:val="002D21A5"/>
    <w:rsid w:val="002D7CEC"/>
    <w:rsid w:val="003842D9"/>
    <w:rsid w:val="00385D7D"/>
    <w:rsid w:val="003A6EDB"/>
    <w:rsid w:val="003E71AD"/>
    <w:rsid w:val="004011EA"/>
    <w:rsid w:val="00406CEC"/>
    <w:rsid w:val="00406FE3"/>
    <w:rsid w:val="00430F7A"/>
    <w:rsid w:val="00460487"/>
    <w:rsid w:val="004A0F03"/>
    <w:rsid w:val="004D5EEB"/>
    <w:rsid w:val="004E6DEC"/>
    <w:rsid w:val="00501602"/>
    <w:rsid w:val="0050572D"/>
    <w:rsid w:val="0052596B"/>
    <w:rsid w:val="005A3D94"/>
    <w:rsid w:val="005A5C17"/>
    <w:rsid w:val="005D5D3D"/>
    <w:rsid w:val="00636F61"/>
    <w:rsid w:val="00651E0A"/>
    <w:rsid w:val="006631E6"/>
    <w:rsid w:val="00671929"/>
    <w:rsid w:val="00672EF8"/>
    <w:rsid w:val="0068791C"/>
    <w:rsid w:val="0069421D"/>
    <w:rsid w:val="006B005E"/>
    <w:rsid w:val="006B2902"/>
    <w:rsid w:val="006C29BA"/>
    <w:rsid w:val="006D2467"/>
    <w:rsid w:val="006E4814"/>
    <w:rsid w:val="00705F09"/>
    <w:rsid w:val="00720E22"/>
    <w:rsid w:val="00753916"/>
    <w:rsid w:val="007A478C"/>
    <w:rsid w:val="007B782C"/>
    <w:rsid w:val="007C1F64"/>
    <w:rsid w:val="007E37D6"/>
    <w:rsid w:val="007F1606"/>
    <w:rsid w:val="00816DFD"/>
    <w:rsid w:val="00852942"/>
    <w:rsid w:val="00854D5B"/>
    <w:rsid w:val="00862FE6"/>
    <w:rsid w:val="008910D3"/>
    <w:rsid w:val="008B22B7"/>
    <w:rsid w:val="0091489C"/>
    <w:rsid w:val="00940806"/>
    <w:rsid w:val="00997969"/>
    <w:rsid w:val="00A254FB"/>
    <w:rsid w:val="00A3129B"/>
    <w:rsid w:val="00A77C9E"/>
    <w:rsid w:val="00B2185D"/>
    <w:rsid w:val="00B26F20"/>
    <w:rsid w:val="00B277C1"/>
    <w:rsid w:val="00B37FC9"/>
    <w:rsid w:val="00B71439"/>
    <w:rsid w:val="00BB661A"/>
    <w:rsid w:val="00BF5A52"/>
    <w:rsid w:val="00C96EF6"/>
    <w:rsid w:val="00CA0ADB"/>
    <w:rsid w:val="00CB14CA"/>
    <w:rsid w:val="00CD2A2D"/>
    <w:rsid w:val="00D10E3D"/>
    <w:rsid w:val="00D13BE8"/>
    <w:rsid w:val="00D2058D"/>
    <w:rsid w:val="00D33C8B"/>
    <w:rsid w:val="00D95EED"/>
    <w:rsid w:val="00DF0040"/>
    <w:rsid w:val="00E13482"/>
    <w:rsid w:val="00E229A0"/>
    <w:rsid w:val="00E32FB8"/>
    <w:rsid w:val="00E545B9"/>
    <w:rsid w:val="00E629D1"/>
    <w:rsid w:val="00E6461A"/>
    <w:rsid w:val="00E854EE"/>
    <w:rsid w:val="00EC7773"/>
    <w:rsid w:val="00EE6E2C"/>
    <w:rsid w:val="00F06E77"/>
    <w:rsid w:val="00F0714C"/>
    <w:rsid w:val="00F90060"/>
    <w:rsid w:val="00FB089A"/>
    <w:rsid w:val="00FB08CA"/>
    <w:rsid w:val="00FB3DF8"/>
    <w:rsid w:val="00FC2323"/>
    <w:rsid w:val="00FD7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E8839A-F10A-4ACE-8A71-455B96539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5F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Sus07</b:Tag>
    <b:SourceType>Report</b:SourceType>
    <b:Guid>{14A96603-3801-490B-AEA7-3350328CB26B}</b:Guid>
    <b:Title>Turning the Tide: Tidal Power in the UK</b:Title>
    <b:Year>2007</b:Year>
    <b:Author>
      <b:Author>
        <b:Corporate>Sustainable Development Commission</b:Corporate>
      </b:Author>
    </b:Author>
    <b:YearAccessed>2019</b:YearAccessed>
    <b:MonthAccessed>January</b:MonthAccessed>
    <b:DayAccessed>27</b:DayAccessed>
    <b:URL>http://www.sd-commission.org.uk/data/files/publications/Tidal_Power_in_the_UK_Oct07.pdf</b:URL>
    <b:RefOrder>1</b:RefOrder>
  </b:Source>
  <b:Source>
    <b:Tag>The12</b:Tag>
    <b:SourceType>Report</b:SourceType>
    <b:Guid>{EF485FCB-6EB7-44D5-B0C4-58219891F1E8}</b:Guid>
    <b:Author>
      <b:Author>
        <b:Corporate>The Crown Estate</b:Corporate>
      </b:Author>
    </b:Author>
    <b:Title>UK Wave and Tidal Key Resource Areas Project: Summary Report</b:Title>
    <b:Year>2012</b:Year>
    <b:YearAccessed>2019</b:YearAccessed>
    <b:MonthAccessed>January</b:MonthAccessed>
    <b:DayAccessed>26</b:DayAccessed>
    <b:URL>https://www.marineenergywales.co.uk/wp-content/uploads/2016/01/Summary-Report-FINAL.pdf</b:URL>
    <b:RefOrder>2</b:RefOrder>
  </b:Source>
  <b:Source>
    <b:Tag>Nei17</b:Tag>
    <b:SourceType>JournalArticle</b:SourceType>
    <b:Guid>{77A31FC3-2ABD-459A-B5C9-A7732D8DE214}</b:Guid>
    <b:Title>The Wave and Tidal Resource of Scotland</b:Title>
    <b:Year>2017</b:Year>
    <b:JournalName>Elsevier</b:JournalName>
    <b:Pages>1-15</b:Pages>
    <b:Volume>Renewable Energy xxx</b:Volume>
    <b:YearAccessed>2019</b:YearAccessed>
    <b:MonthAccessed>January</b:MonthAccessed>
    <b:DayAccessed>24</b:DayAccessed>
    <b:URL>https://www.researchgate.net/publication/314606415</b:URL>
    <b:Author>
      <b:Author>
        <b:NameList>
          <b:Person>
            <b:Last>Neill</b:Last>
            <b:Middle>P</b:Middle>
            <b:First>S</b:First>
          </b:Person>
          <b:Person>
            <b:Last>Vogler</b:Last>
            <b:First>A</b:First>
          </b:Person>
          <b:Person>
            <b:Last>Goward-Brown</b:Last>
            <b:Middle>J</b:Middle>
            <b:First>A</b:First>
          </b:Person>
          <b:Person>
            <b:Last>Baston</b:Last>
            <b:First>S</b:First>
          </b:Person>
          <b:Person>
            <b:Last>Lewis</b:Last>
            <b:Middle>J</b:Middle>
            <b:First>M</b:First>
          </b:Person>
          <b:Person>
            <b:Last>Gillibrand</b:Last>
            <b:Middle>A</b:Middle>
            <b:First>P</b:First>
          </b:Person>
          <b:Person>
            <b:Last>Waldman</b:Last>
            <b:First>S</b:First>
          </b:Person>
          <b:Person>
            <b:Last>Woolf</b:Last>
            <b:Middle>K</b:Middle>
            <b:First>D</b:First>
          </b:Person>
        </b:NameList>
      </b:Author>
    </b:Author>
    <b:RefOrder>3</b:RefOrder>
  </b:Source>
  <b:Source>
    <b:Tag>Hin18</b:Tag>
    <b:SourceType>Report</b:SourceType>
    <b:Guid>{05FCF508-0868-4FAF-A10F-18A2D7504C99}</b:Guid>
    <b:Title>Tidal Lagoons</b:Title>
    <b:Year>2018</b:Year>
    <b:Author>
      <b:Author>
        <b:NameList>
          <b:Person>
            <b:Last>Hinson</b:Last>
            <b:First>S</b:First>
          </b:Person>
        </b:NameList>
      </b:Author>
    </b:Author>
    <b:Publisher>House of Commons Library</b:Publisher>
    <b:ThesisType>Briefing Paper</b:ThesisType>
    <b:StandardNumber>7940</b:StandardNumber>
    <b:YearAccessed>2019</b:YearAccessed>
    <b:MonthAccessed>January</b:MonthAccessed>
    <b:DayAccessed>22</b:DayAccessed>
    <b:URL>http://researchbriefings.files.parliament.uk/documents/CBP-7940/CBP-7940.pdf</b:URL>
    <b:RefOrder>4</b:RefOrder>
  </b:Source>
  <b:Source>
    <b:Tag>Cal06</b:Tag>
    <b:SourceType>Report</b:SourceType>
    <b:Guid>{E8D61C91-435A-4CC3-8469-456A2102C9A2}</b:Guid>
    <b:Author>
      <b:Author>
        <b:NameList>
          <b:Person>
            <b:Last>Callaghan</b:Last>
            <b:First>J.</b:First>
          </b:Person>
        </b:NameList>
      </b:Author>
    </b:Author>
    <b:Title>Future Marine Energy: Cost Competitiveness and Growth of Wave and Tidal Stream Energy</b:Title>
    <b:Year>2006</b:Year>
    <b:Publisher>Carbon Trust</b:Publisher>
    <b:City>London, UK</b:City>
    <b:YearAccessed>2019</b:YearAccessed>
    <b:MonthAccessed>January</b:MonthAccessed>
    <b:DayAccessed>27</b:DayAccessed>
    <b:URL>https://www.bchydro.com/content/dam/hydro/medialib/internet/documents/planning_regulatory/iep_ltap/ror/appx_11a_marine_energy.pdf</b:URL>
    <b:RefOrder>5</b:RefOrder>
  </b:Source>
  <b:Source>
    <b:Tag>The19</b:Tag>
    <b:SourceType>BookSection</b:SourceType>
    <b:Guid>{F9518A05-87C4-4AFB-BDB5-B6FB8A00D851}</b:Guid>
    <b:Title>Planning Act 2008</b:Title>
    <b:Publisher>The Stationery Office Limited</b:Publisher>
    <b:Author>
      <b:Author>
        <b:Corporate>The Crown</b:Corporate>
      </b:Author>
    </b:Author>
    <b:InternetSiteTitle>Planni</b:InternetSiteTitle>
    <b:URL>http://www.legislation.gov.uk/ukpga/2008/29/contents</b:URL>
    <b:ProductionCompany>Her Majesty’s Stationery Office and Queen’s Printer of Acts of Parliament</b:ProductionCompany>
    <b:YearAccessed>2019</b:YearAccessed>
    <b:MonthAccessed>January</b:MonthAccessed>
    <b:DayAccessed>29</b:DayAccessed>
    <b:ChapterNumber>28</b:ChapterNumber>
    <b:RefOrder>6</b:RefOrder>
  </b:Source>
  <b:Source>
    <b:Tag>Nat19</b:Tag>
    <b:SourceType>InternetSite</b:SourceType>
    <b:Guid>{03E8CBEA-4AC1-44AB-9E1F-32655A99AD70}</b:Guid>
    <b:Title>Marine Licenses</b:Title>
    <b:Year>2019</b:Year>
    <b:Author>
      <b:Author>
        <b:Corporate>Natural Resources Wales</b:Corporate>
      </b:Author>
    </b:Author>
    <b:Month>January</b:Month>
    <b:Day>29</b:Day>
    <b:URL>https://naturalresources.wales/permits-and-permissions/marine-licensing/marine-licences/?lang=en</b:URL>
    <b:RefOrder>7</b:RefOrder>
  </b:Source>
</b:Sources>
</file>

<file path=customXml/itemProps1.xml><?xml version="1.0" encoding="utf-8"?>
<ds:datastoreItem xmlns:ds="http://schemas.openxmlformats.org/officeDocument/2006/customXml" ds:itemID="{662CEB41-9E93-4BC6-B76B-24A6D932C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4271</TotalTime>
  <Pages>4</Pages>
  <Words>1283</Words>
  <Characters>7318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101</cp:revision>
  <dcterms:created xsi:type="dcterms:W3CDTF">2019-01-26T21:54:00Z</dcterms:created>
  <dcterms:modified xsi:type="dcterms:W3CDTF">2019-01-29T22:09:00Z</dcterms:modified>
</cp:coreProperties>
</file>