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892E0" w14:textId="77777777" w:rsidR="00362F91" w:rsidRDefault="00457FE6" w:rsidP="00457FE6">
      <w:pPr>
        <w:jc w:val="center"/>
        <w:rPr>
          <w:b/>
          <w:u w:val="single"/>
        </w:rPr>
      </w:pPr>
      <w:r w:rsidRPr="00457FE6">
        <w:rPr>
          <w:b/>
          <w:u w:val="single"/>
        </w:rPr>
        <w:t>Health and Safety Issues with Power Transmission</w:t>
      </w:r>
    </w:p>
    <w:p w14:paraId="6A7771D7" w14:textId="77777777" w:rsidR="00457FE6" w:rsidRDefault="00457FE6" w:rsidP="00457FE6">
      <w:pPr>
        <w:pStyle w:val="ListParagraph"/>
        <w:numPr>
          <w:ilvl w:val="0"/>
          <w:numId w:val="2"/>
        </w:numPr>
        <w:rPr>
          <w:u w:val="single"/>
        </w:rPr>
      </w:pPr>
      <w:r w:rsidRPr="00457FE6">
        <w:rPr>
          <w:u w:val="single"/>
        </w:rPr>
        <w:t>Problems related to Electricity Generation practices</w:t>
      </w:r>
      <w:r>
        <w:rPr>
          <w:u w:val="single"/>
        </w:rPr>
        <w:t xml:space="preserve"> ()</w:t>
      </w:r>
    </w:p>
    <w:p w14:paraId="0357367A" w14:textId="77777777" w:rsidR="00911676" w:rsidRPr="00911676" w:rsidRDefault="00911676" w:rsidP="00911676">
      <w:pPr>
        <w:spacing w:after="240"/>
        <w:textAlignment w:val="baseline"/>
        <w:rPr>
          <w:rFonts w:ascii="Arial" w:hAnsi="Arial" w:cs="Arial"/>
          <w:color w:val="111111"/>
          <w:sz w:val="20"/>
          <w:szCs w:val="20"/>
          <w:lang w:eastAsia="en-GB"/>
        </w:rPr>
      </w:pPr>
      <w:r w:rsidRPr="00911676">
        <w:rPr>
          <w:rFonts w:ascii="Arial" w:hAnsi="Arial" w:cs="Arial"/>
          <w:color w:val="111111"/>
          <w:sz w:val="20"/>
          <w:szCs w:val="20"/>
          <w:lang w:eastAsia="en-GB"/>
        </w:rPr>
        <w:t>The basis for prioritising the electricity supply industry is that of possible future harm to workers and risk of catastrophic incidents in light of a number of common issues / themes that run through each part of the electricity supply industry, notably:</w:t>
      </w:r>
    </w:p>
    <w:p w14:paraId="43D192FA" w14:textId="77777777" w:rsidR="00911676" w:rsidRPr="00911676" w:rsidRDefault="00911676" w:rsidP="00911676">
      <w:pPr>
        <w:numPr>
          <w:ilvl w:val="0"/>
          <w:numId w:val="3"/>
        </w:numPr>
        <w:ind w:left="240"/>
        <w:textAlignment w:val="baseline"/>
        <w:rPr>
          <w:rFonts w:ascii="Arial" w:eastAsia="Times New Roman" w:hAnsi="Arial" w:cs="Arial"/>
          <w:color w:val="111111"/>
          <w:sz w:val="20"/>
          <w:szCs w:val="20"/>
          <w:lang w:eastAsia="en-GB"/>
        </w:rPr>
      </w:pPr>
      <w:r w:rsidRPr="00911676">
        <w:rPr>
          <w:rFonts w:ascii="Arial" w:eastAsia="Times New Roman" w:hAnsi="Arial" w:cs="Arial"/>
          <w:color w:val="111111"/>
          <w:sz w:val="20"/>
          <w:szCs w:val="20"/>
          <w:lang w:eastAsia="en-GB"/>
        </w:rPr>
        <w:t>Plant – ageing assets </w:t>
      </w:r>
      <w:r w:rsidRPr="00911676">
        <w:rPr>
          <w:rFonts w:ascii="inherit" w:eastAsia="Times New Roman" w:hAnsi="inherit" w:cs="Arial"/>
          <w:i/>
          <w:iCs/>
          <w:color w:val="111111"/>
          <w:sz w:val="20"/>
          <w:szCs w:val="20"/>
          <w:bdr w:val="none" w:sz="0" w:space="0" w:color="auto" w:frame="1"/>
          <w:lang w:eastAsia="en-GB"/>
        </w:rPr>
        <w:t>(though this is decreasing through recent and ongoing investment programmes)</w:t>
      </w:r>
      <w:r w:rsidRPr="00911676">
        <w:rPr>
          <w:rFonts w:ascii="Arial" w:eastAsia="Times New Roman" w:hAnsi="Arial" w:cs="Arial"/>
          <w:color w:val="111111"/>
          <w:sz w:val="20"/>
          <w:szCs w:val="20"/>
          <w:lang w:eastAsia="en-GB"/>
        </w:rPr>
        <w:t>, new technology uptake</w:t>
      </w:r>
    </w:p>
    <w:p w14:paraId="5A00648C" w14:textId="1CFDBA0A" w:rsidR="00911676" w:rsidRPr="00911676" w:rsidRDefault="00911676" w:rsidP="00911676">
      <w:pPr>
        <w:numPr>
          <w:ilvl w:val="0"/>
          <w:numId w:val="3"/>
        </w:numPr>
        <w:ind w:left="240"/>
        <w:textAlignment w:val="baseline"/>
        <w:rPr>
          <w:rFonts w:ascii="Arial" w:eastAsia="Times New Roman" w:hAnsi="Arial" w:cs="Arial"/>
          <w:color w:val="111111"/>
          <w:sz w:val="20"/>
          <w:szCs w:val="20"/>
          <w:lang w:eastAsia="en-GB"/>
        </w:rPr>
      </w:pPr>
      <w:r w:rsidRPr="00911676">
        <w:rPr>
          <w:rFonts w:ascii="Arial" w:eastAsia="Times New Roman" w:hAnsi="Arial" w:cs="Arial"/>
          <w:color w:val="111111"/>
          <w:sz w:val="20"/>
          <w:szCs w:val="20"/>
          <w:lang w:eastAsia="en-GB"/>
        </w:rPr>
        <w:t xml:space="preserve">Processes – proliferation of different working procedures and interfaces between </w:t>
      </w:r>
      <w:r w:rsidR="00623201" w:rsidRPr="00911676">
        <w:rPr>
          <w:rFonts w:ascii="Arial" w:eastAsia="Times New Roman" w:hAnsi="Arial" w:cs="Arial"/>
          <w:color w:val="111111"/>
          <w:sz w:val="20"/>
          <w:szCs w:val="20"/>
          <w:lang w:eastAsia="en-GB"/>
        </w:rPr>
        <w:t>duty holders</w:t>
      </w:r>
      <w:r w:rsidRPr="00911676">
        <w:rPr>
          <w:rFonts w:ascii="Arial" w:eastAsia="Times New Roman" w:hAnsi="Arial" w:cs="Arial"/>
          <w:color w:val="111111"/>
          <w:sz w:val="20"/>
          <w:szCs w:val="20"/>
          <w:lang w:eastAsia="en-GB"/>
        </w:rPr>
        <w:t> </w:t>
      </w:r>
      <w:r w:rsidRPr="00911676">
        <w:rPr>
          <w:rFonts w:ascii="inherit" w:eastAsia="Times New Roman" w:hAnsi="inherit" w:cs="Arial"/>
          <w:i/>
          <w:iCs/>
          <w:color w:val="111111"/>
          <w:sz w:val="20"/>
          <w:szCs w:val="20"/>
          <w:bdr w:val="none" w:sz="0" w:space="0" w:color="auto" w:frame="1"/>
          <w:lang w:eastAsia="en-GB"/>
        </w:rPr>
        <w:t>(particularly important where boundaries are not well defined)</w:t>
      </w:r>
    </w:p>
    <w:p w14:paraId="5C1E45FE" w14:textId="6B1A3DE1" w:rsidR="00911676" w:rsidRPr="00911676" w:rsidRDefault="00911676" w:rsidP="00911676">
      <w:pPr>
        <w:numPr>
          <w:ilvl w:val="0"/>
          <w:numId w:val="3"/>
        </w:numPr>
        <w:ind w:left="240"/>
        <w:textAlignment w:val="baseline"/>
        <w:rPr>
          <w:rFonts w:ascii="Arial" w:eastAsia="Times New Roman" w:hAnsi="Arial" w:cs="Arial"/>
          <w:color w:val="111111"/>
          <w:sz w:val="20"/>
          <w:szCs w:val="20"/>
          <w:lang w:eastAsia="en-GB"/>
        </w:rPr>
      </w:pPr>
      <w:r w:rsidRPr="00911676">
        <w:rPr>
          <w:rFonts w:ascii="Arial" w:eastAsia="Times New Roman" w:hAnsi="Arial" w:cs="Arial"/>
          <w:color w:val="111111"/>
          <w:sz w:val="20"/>
          <w:szCs w:val="20"/>
          <w:lang w:eastAsia="en-GB"/>
        </w:rPr>
        <w:t>People – contract</w:t>
      </w:r>
      <w:r w:rsidR="00623201">
        <w:rPr>
          <w:rFonts w:ascii="Arial" w:eastAsia="Times New Roman" w:hAnsi="Arial" w:cs="Arial"/>
          <w:color w:val="111111"/>
          <w:sz w:val="20"/>
          <w:szCs w:val="20"/>
          <w:lang w:eastAsia="en-GB"/>
        </w:rPr>
        <w:t xml:space="preserve"> issues</w:t>
      </w:r>
      <w:r w:rsidRPr="00911676">
        <w:rPr>
          <w:rFonts w:ascii="Arial" w:eastAsia="Times New Roman" w:hAnsi="Arial" w:cs="Arial"/>
          <w:color w:val="111111"/>
          <w:sz w:val="20"/>
          <w:szCs w:val="20"/>
          <w:lang w:eastAsia="en-GB"/>
        </w:rPr>
        <w:t> </w:t>
      </w:r>
      <w:r w:rsidRPr="00911676">
        <w:rPr>
          <w:rFonts w:ascii="inherit" w:eastAsia="Times New Roman" w:hAnsi="inherit" w:cs="Arial"/>
          <w:i/>
          <w:iCs/>
          <w:color w:val="111111"/>
          <w:sz w:val="20"/>
          <w:szCs w:val="20"/>
          <w:bdr w:val="none" w:sz="0" w:space="0" w:color="auto" w:frame="1"/>
          <w:lang w:eastAsia="en-GB"/>
        </w:rPr>
        <w:t>(selection/management/skills)</w:t>
      </w:r>
      <w:r w:rsidRPr="00911676">
        <w:rPr>
          <w:rFonts w:ascii="Arial" w:eastAsia="Times New Roman" w:hAnsi="Arial" w:cs="Arial"/>
          <w:color w:val="111111"/>
          <w:sz w:val="20"/>
          <w:szCs w:val="20"/>
          <w:lang w:eastAsia="en-GB"/>
        </w:rPr>
        <w:t>, an increasing proportion of the work force that is less experienced, competence for new technologies</w:t>
      </w:r>
    </w:p>
    <w:p w14:paraId="10701A23" w14:textId="77777777" w:rsidR="00911676" w:rsidRPr="00911676" w:rsidRDefault="00911676" w:rsidP="00911676">
      <w:pPr>
        <w:spacing w:after="240"/>
        <w:textAlignment w:val="baseline"/>
        <w:rPr>
          <w:rFonts w:ascii="Arial" w:hAnsi="Arial" w:cs="Arial"/>
          <w:color w:val="111111"/>
          <w:sz w:val="20"/>
          <w:szCs w:val="20"/>
          <w:lang w:eastAsia="en-GB"/>
        </w:rPr>
      </w:pPr>
      <w:r w:rsidRPr="00911676">
        <w:rPr>
          <w:rFonts w:ascii="Arial" w:hAnsi="Arial" w:cs="Arial"/>
          <w:color w:val="111111"/>
          <w:sz w:val="20"/>
          <w:szCs w:val="20"/>
          <w:lang w:eastAsia="en-GB"/>
        </w:rPr>
        <w:t>New hazards and risks arising from the uptake and expansion of renewable energy technologies are a key focus, e.g. a move from coal-fired to biomass power generation may bring new health risks, and the rapid expansion of technologies such as wind energy and energy-from-waste has the potential to impact on the sector’s health and safety performance records.  </w:t>
      </w:r>
    </w:p>
    <w:p w14:paraId="37A763AB" w14:textId="77777777" w:rsidR="00911676" w:rsidRDefault="00911676" w:rsidP="00911676">
      <w:pPr>
        <w:spacing w:after="240"/>
        <w:textAlignment w:val="baseline"/>
        <w:rPr>
          <w:rFonts w:ascii="Arial" w:hAnsi="Arial" w:cs="Arial"/>
          <w:color w:val="111111"/>
          <w:sz w:val="20"/>
          <w:szCs w:val="20"/>
          <w:lang w:eastAsia="en-GB"/>
        </w:rPr>
      </w:pPr>
      <w:r w:rsidRPr="00911676">
        <w:rPr>
          <w:rFonts w:ascii="Arial" w:hAnsi="Arial" w:cs="Arial"/>
          <w:color w:val="111111"/>
          <w:sz w:val="20"/>
          <w:szCs w:val="20"/>
          <w:lang w:eastAsia="en-GB"/>
        </w:rPr>
        <w:t>Protecting the general public and consumers from danger from the electricity supply infrastructure is a key issue for those working on, or owning power network apparatus such as generators, distributors, meter operators. The Electricity Safety, Quality and Continuity Regulations 2002 (ESQCR) specify safety standards and duty holders have duties to report certain incidents that may involve public safety.</w:t>
      </w:r>
    </w:p>
    <w:p w14:paraId="408AAA08" w14:textId="77777777" w:rsidR="00845C4A" w:rsidRDefault="00845C4A" w:rsidP="00911676">
      <w:pPr>
        <w:spacing w:after="240"/>
        <w:textAlignment w:val="baseline"/>
        <w:rPr>
          <w:rFonts w:ascii="Arial" w:hAnsi="Arial" w:cs="Arial"/>
          <w:color w:val="111111"/>
          <w:sz w:val="20"/>
          <w:szCs w:val="20"/>
          <w:lang w:eastAsia="en-GB"/>
        </w:rPr>
      </w:pPr>
    </w:p>
    <w:p w14:paraId="0DFF6B62" w14:textId="77777777" w:rsidR="002564CF" w:rsidRDefault="002564CF" w:rsidP="00845C4A">
      <w:pPr>
        <w:rPr>
          <w:rFonts w:ascii="Times New Roman" w:eastAsia="Times New Roman" w:hAnsi="Times New Roman" w:cs="Times New Roman"/>
          <w:b/>
          <w:strike/>
          <w:u w:val="single"/>
          <w:lang w:eastAsia="en-GB"/>
        </w:rPr>
      </w:pPr>
      <w:bookmarkStart w:id="0" w:name="_GoBack"/>
      <w:bookmarkEnd w:id="0"/>
    </w:p>
    <w:p w14:paraId="1AC74FCB" w14:textId="77777777" w:rsidR="002564CF" w:rsidRPr="00845C4A" w:rsidRDefault="002564CF" w:rsidP="00845C4A">
      <w:pPr>
        <w:rPr>
          <w:rFonts w:ascii="Times New Roman" w:eastAsia="Times New Roman" w:hAnsi="Times New Roman" w:cs="Times New Roman"/>
          <w:lang w:eastAsia="en-GB"/>
        </w:rPr>
      </w:pPr>
    </w:p>
    <w:p w14:paraId="22A9BFC3" w14:textId="77777777" w:rsidR="00845C4A" w:rsidRPr="00911676" w:rsidRDefault="00845C4A" w:rsidP="00911676">
      <w:pPr>
        <w:spacing w:after="240"/>
        <w:textAlignment w:val="baseline"/>
        <w:rPr>
          <w:rFonts w:ascii="Arial" w:hAnsi="Arial" w:cs="Arial"/>
          <w:color w:val="111111"/>
          <w:sz w:val="20"/>
          <w:szCs w:val="20"/>
          <w:lang w:eastAsia="en-GB"/>
        </w:rPr>
      </w:pPr>
    </w:p>
    <w:p w14:paraId="2BA75E61" w14:textId="77777777" w:rsidR="00457FE6" w:rsidRPr="00911676" w:rsidRDefault="00457FE6" w:rsidP="00911676">
      <w:pPr>
        <w:rPr>
          <w:u w:val="single"/>
        </w:rPr>
      </w:pPr>
    </w:p>
    <w:sectPr w:rsidR="00457FE6" w:rsidRPr="00911676" w:rsidSect="0057394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A76D7C"/>
    <w:multiLevelType w:val="hybridMultilevel"/>
    <w:tmpl w:val="CBE6D6DE"/>
    <w:lvl w:ilvl="0" w:tplc="BC48B63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0BC0E1D"/>
    <w:multiLevelType w:val="hybridMultilevel"/>
    <w:tmpl w:val="B5C830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DFA23E2"/>
    <w:multiLevelType w:val="multilevel"/>
    <w:tmpl w:val="7A06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FE6"/>
    <w:rsid w:val="002564CF"/>
    <w:rsid w:val="00457FE6"/>
    <w:rsid w:val="00573940"/>
    <w:rsid w:val="00623201"/>
    <w:rsid w:val="0081242E"/>
    <w:rsid w:val="00845C4A"/>
    <w:rsid w:val="00911676"/>
    <w:rsid w:val="0095386F"/>
    <w:rsid w:val="00B91211"/>
    <w:rsid w:val="00EB6FE5"/>
    <w:rsid w:val="00F168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0A57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FE6"/>
    <w:pPr>
      <w:ind w:left="720"/>
      <w:contextualSpacing/>
    </w:pPr>
  </w:style>
  <w:style w:type="paragraph" w:styleId="NormalWeb">
    <w:name w:val="Normal (Web)"/>
    <w:basedOn w:val="Normal"/>
    <w:uiPriority w:val="99"/>
    <w:semiHidden/>
    <w:unhideWhenUsed/>
    <w:rsid w:val="00911676"/>
    <w:pPr>
      <w:spacing w:before="100" w:beforeAutospacing="1" w:after="100" w:afterAutospacing="1"/>
    </w:pPr>
    <w:rPr>
      <w:rFonts w:ascii="Times New Roman" w:hAnsi="Times New Roman" w:cs="Times New Roman"/>
      <w:lang w:eastAsia="en-GB"/>
    </w:rPr>
  </w:style>
  <w:style w:type="character" w:styleId="Emphasis">
    <w:name w:val="Emphasis"/>
    <w:basedOn w:val="DefaultParagraphFont"/>
    <w:uiPriority w:val="20"/>
    <w:qFormat/>
    <w:rsid w:val="009116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864910">
      <w:bodyDiv w:val="1"/>
      <w:marLeft w:val="0"/>
      <w:marRight w:val="0"/>
      <w:marTop w:val="0"/>
      <w:marBottom w:val="0"/>
      <w:divBdr>
        <w:top w:val="none" w:sz="0" w:space="0" w:color="auto"/>
        <w:left w:val="none" w:sz="0" w:space="0" w:color="auto"/>
        <w:bottom w:val="none" w:sz="0" w:space="0" w:color="auto"/>
        <w:right w:val="none" w:sz="0" w:space="0" w:color="auto"/>
      </w:divBdr>
    </w:div>
    <w:div w:id="1764304000">
      <w:bodyDiv w:val="1"/>
      <w:marLeft w:val="0"/>
      <w:marRight w:val="0"/>
      <w:marTop w:val="0"/>
      <w:marBottom w:val="0"/>
      <w:divBdr>
        <w:top w:val="none" w:sz="0" w:space="0" w:color="auto"/>
        <w:left w:val="none" w:sz="0" w:space="0" w:color="auto"/>
        <w:bottom w:val="none" w:sz="0" w:space="0" w:color="auto"/>
        <w:right w:val="none" w:sz="0" w:space="0" w:color="auto"/>
      </w:divBdr>
    </w:div>
    <w:div w:id="1959801053">
      <w:bodyDiv w:val="1"/>
      <w:marLeft w:val="0"/>
      <w:marRight w:val="0"/>
      <w:marTop w:val="0"/>
      <w:marBottom w:val="0"/>
      <w:divBdr>
        <w:top w:val="none" w:sz="0" w:space="0" w:color="auto"/>
        <w:left w:val="none" w:sz="0" w:space="0" w:color="auto"/>
        <w:bottom w:val="none" w:sz="0" w:space="0" w:color="auto"/>
        <w:right w:val="none" w:sz="0" w:space="0" w:color="auto"/>
      </w:divBdr>
    </w:div>
    <w:div w:id="20269018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Rafay Bin Fawad Janjua (student)</dc:creator>
  <cp:keywords/>
  <dc:description/>
  <cp:lastModifiedBy>Rafay Bin Fawad Janjua (student)</cp:lastModifiedBy>
  <cp:revision>4</cp:revision>
  <dcterms:created xsi:type="dcterms:W3CDTF">2019-01-17T17:01:00Z</dcterms:created>
  <dcterms:modified xsi:type="dcterms:W3CDTF">2019-01-24T14:43:00Z</dcterms:modified>
</cp:coreProperties>
</file>