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A45C2" w14:textId="233105F6" w:rsidR="00F01527" w:rsidRPr="00B507FA" w:rsidRDefault="00F01527" w:rsidP="00F01527">
      <w:pPr>
        <w:ind w:left="360" w:hanging="360"/>
        <w:rPr>
          <w:b/>
        </w:rPr>
      </w:pPr>
      <w:r>
        <w:rPr>
          <w:rFonts w:hint="eastAsia"/>
        </w:rPr>
        <w:t xml:space="preserve"> </w:t>
      </w:r>
      <w:r>
        <w:t xml:space="preserve">                 </w:t>
      </w:r>
      <w:r w:rsidRPr="00B507FA">
        <w:rPr>
          <w:b/>
        </w:rPr>
        <w:t>Application of planning permission for the project</w:t>
      </w:r>
    </w:p>
    <w:p w14:paraId="29135C1B" w14:textId="2ABE72B4" w:rsidR="00F01527" w:rsidRPr="00141E9F" w:rsidRDefault="004A65FB" w:rsidP="00F01527">
      <w:pPr>
        <w:pStyle w:val="ListParagraph"/>
        <w:numPr>
          <w:ilvl w:val="0"/>
          <w:numId w:val="1"/>
        </w:numPr>
        <w:ind w:firstLineChars="0"/>
        <w:rPr>
          <w:b/>
        </w:rPr>
      </w:pPr>
      <w:r w:rsidRPr="00141E9F">
        <w:rPr>
          <w:b/>
        </w:rPr>
        <w:t>Planning permission</w:t>
      </w:r>
    </w:p>
    <w:p w14:paraId="6743300A" w14:textId="5E434F20" w:rsidR="00F01527" w:rsidRDefault="00880E4D" w:rsidP="00880E4D">
      <w:pPr>
        <w:pStyle w:val="ListParagraph"/>
        <w:ind w:left="360" w:firstLineChars="0" w:firstLine="0"/>
      </w:pPr>
      <w:r w:rsidRPr="00880E4D">
        <w:t xml:space="preserve">According to North Ayrshire Council (North Ayrshire Council, 2019), to alter, extend, build or change the use of premises the project needs to apply for planning permission. Because of the project requires a large site </w:t>
      </w:r>
      <w:r>
        <w:t xml:space="preserve">which </w:t>
      </w:r>
      <w:r w:rsidRPr="00880E4D">
        <w:t>needs to be master planned over a period of many years</w:t>
      </w:r>
      <w:r>
        <w:t xml:space="preserve">, the process called </w:t>
      </w:r>
      <w:r w:rsidRPr="00880E4D">
        <w:t>Planning permission in principle (PPP)</w:t>
      </w:r>
      <w:r>
        <w:t xml:space="preserve"> was required by </w:t>
      </w:r>
      <w:r w:rsidRPr="00880E4D">
        <w:t>North Ayrshire Council</w:t>
      </w:r>
      <w:r>
        <w:t xml:space="preserve">, which is the process </w:t>
      </w:r>
      <w:r w:rsidRPr="00880E4D">
        <w:t xml:space="preserve">to test the principle of a proposed development on a </w:t>
      </w:r>
      <w:r w:rsidR="00864A37" w:rsidRPr="00880E4D">
        <w:t>site</w:t>
      </w:r>
      <w:r>
        <w:t xml:space="preserve">. </w:t>
      </w:r>
      <w:r w:rsidRPr="00880E4D">
        <w:t> </w:t>
      </w:r>
      <w:r>
        <w:t xml:space="preserve"> </w:t>
      </w:r>
    </w:p>
    <w:p w14:paraId="7DB3BC5D" w14:textId="77777777" w:rsidR="00141E9F" w:rsidRPr="00880E4D" w:rsidRDefault="00141E9F" w:rsidP="00880E4D">
      <w:pPr>
        <w:pStyle w:val="ListParagraph"/>
        <w:ind w:left="360" w:firstLineChars="0" w:firstLine="0"/>
      </w:pPr>
      <w:bookmarkStart w:id="0" w:name="_GoBack"/>
      <w:bookmarkEnd w:id="0"/>
    </w:p>
    <w:p w14:paraId="051A9D88" w14:textId="315D437C" w:rsidR="004A65FB" w:rsidRPr="00141E9F" w:rsidRDefault="00880E4D" w:rsidP="004A65FB">
      <w:pPr>
        <w:pStyle w:val="ListParagraph"/>
        <w:numPr>
          <w:ilvl w:val="1"/>
          <w:numId w:val="1"/>
        </w:numPr>
        <w:ind w:firstLineChars="0"/>
        <w:rPr>
          <w:b/>
        </w:rPr>
      </w:pPr>
      <w:r w:rsidRPr="00141E9F">
        <w:rPr>
          <w:b/>
        </w:rPr>
        <w:t>C</w:t>
      </w:r>
      <w:r w:rsidR="004A65FB" w:rsidRPr="00141E9F">
        <w:rPr>
          <w:b/>
        </w:rPr>
        <w:t>hecklist</w:t>
      </w:r>
      <w:r w:rsidRPr="00141E9F">
        <w:rPr>
          <w:b/>
        </w:rPr>
        <w:t xml:space="preserve"> of planning permission</w:t>
      </w:r>
    </w:p>
    <w:p w14:paraId="7AC17860" w14:textId="22061040" w:rsidR="00141E9F" w:rsidRDefault="00880E4D" w:rsidP="00880E4D">
      <w:pPr>
        <w:ind w:left="360"/>
      </w:pPr>
      <w:r>
        <w:t>In order to applicate a planning permission, some i</w:t>
      </w:r>
      <w:r w:rsidR="00141E9F">
        <w:t>nformation and documents need to be submitted (</w:t>
      </w:r>
      <w:r w:rsidR="00141E9F" w:rsidRPr="00141E9F">
        <w:t>Heads of Planning Scotland</w:t>
      </w:r>
      <w:r w:rsidR="00141E9F">
        <w:t>, 2019):</w:t>
      </w:r>
    </w:p>
    <w:p w14:paraId="5DAA2A62" w14:textId="77777777" w:rsidR="00B507FA" w:rsidRDefault="00B507FA" w:rsidP="00880E4D">
      <w:pPr>
        <w:ind w:left="360"/>
      </w:pPr>
    </w:p>
    <w:p w14:paraId="33495C0F" w14:textId="5D71EFAC" w:rsidR="00141E9F" w:rsidRPr="00E4152A" w:rsidRDefault="00141E9F" w:rsidP="00E4152A">
      <w:pPr>
        <w:pStyle w:val="ListParagraph"/>
        <w:numPr>
          <w:ilvl w:val="0"/>
          <w:numId w:val="3"/>
        </w:numPr>
        <w:ind w:firstLineChars="0"/>
        <w:rPr>
          <w:b/>
        </w:rPr>
      </w:pPr>
      <w:r w:rsidRPr="00E4152A">
        <w:rPr>
          <w:b/>
        </w:rPr>
        <w:t xml:space="preserve">Application form </w:t>
      </w:r>
    </w:p>
    <w:p w14:paraId="2F1B1E5D" w14:textId="77777777" w:rsidR="00141E9F" w:rsidRDefault="00141E9F" w:rsidP="00880E4D">
      <w:pPr>
        <w:ind w:left="360"/>
      </w:pPr>
    </w:p>
    <w:p w14:paraId="4AF5AC27" w14:textId="326C8975" w:rsidR="00141E9F" w:rsidRPr="00E4152A" w:rsidRDefault="00141E9F" w:rsidP="00E4152A">
      <w:pPr>
        <w:pStyle w:val="ListParagraph"/>
        <w:numPr>
          <w:ilvl w:val="0"/>
          <w:numId w:val="3"/>
        </w:numPr>
        <w:ind w:firstLineChars="0"/>
        <w:rPr>
          <w:b/>
        </w:rPr>
      </w:pPr>
      <w:r w:rsidRPr="00E4152A">
        <w:rPr>
          <w:b/>
        </w:rPr>
        <w:t xml:space="preserve">Accurate description of the proposed development </w:t>
      </w:r>
    </w:p>
    <w:p w14:paraId="27F91D74" w14:textId="77777777" w:rsidR="00141E9F" w:rsidRDefault="00141E9F" w:rsidP="00880E4D">
      <w:pPr>
        <w:ind w:left="360"/>
      </w:pPr>
    </w:p>
    <w:p w14:paraId="55DE9055" w14:textId="19267E27" w:rsidR="00141E9F" w:rsidRPr="00E4152A" w:rsidRDefault="00141E9F" w:rsidP="00E4152A">
      <w:pPr>
        <w:pStyle w:val="ListParagraph"/>
        <w:numPr>
          <w:ilvl w:val="0"/>
          <w:numId w:val="3"/>
        </w:numPr>
        <w:ind w:firstLineChars="0"/>
        <w:rPr>
          <w:b/>
        </w:rPr>
      </w:pPr>
      <w:r w:rsidRPr="00E4152A">
        <w:rPr>
          <w:b/>
        </w:rPr>
        <w:t xml:space="preserve">Planning fee </w:t>
      </w:r>
    </w:p>
    <w:p w14:paraId="63703337" w14:textId="6C5A683B" w:rsidR="00E4152A" w:rsidRPr="00141E9F" w:rsidRDefault="00E4152A" w:rsidP="00880E4D">
      <w:pPr>
        <w:ind w:left="360"/>
        <w:rPr>
          <w:b/>
        </w:rPr>
      </w:pPr>
    </w:p>
    <w:p w14:paraId="32D519F1" w14:textId="6AC96D56" w:rsidR="00141E9F" w:rsidRDefault="00141E9F" w:rsidP="00141E9F">
      <w:pPr>
        <w:ind w:left="360"/>
      </w:pPr>
      <w:r>
        <w:t>According to the information</w:t>
      </w:r>
      <w:r w:rsidR="00E4152A">
        <w:t xml:space="preserve"> from</w:t>
      </w:r>
      <w:r>
        <w:t xml:space="preserve"> the Scottish</w:t>
      </w:r>
      <w:r w:rsidR="00E4152A">
        <w:t xml:space="preserve"> government (</w:t>
      </w:r>
      <w:proofErr w:type="spellStart"/>
      <w:proofErr w:type="gramStart"/>
      <w:r w:rsidR="00E4152A">
        <w:t>eplanning.scot</w:t>
      </w:r>
      <w:proofErr w:type="spellEnd"/>
      <w:proofErr w:type="gramEnd"/>
      <w:r w:rsidR="00E4152A">
        <w:t>, 2019)</w:t>
      </w:r>
      <w:r>
        <w:t xml:space="preserve">  application </w:t>
      </w:r>
      <w:r>
        <w:rPr>
          <w:rFonts w:hint="eastAsia"/>
        </w:rPr>
        <w:t>f</w:t>
      </w:r>
      <w:r>
        <w:t xml:space="preserve">ee is round </w:t>
      </w:r>
      <w:r>
        <w:rPr>
          <w:rFonts w:hint="eastAsia"/>
        </w:rPr>
        <w:t>62500</w:t>
      </w:r>
      <w:r>
        <w:t xml:space="preserve"> </w:t>
      </w:r>
      <w:r>
        <w:rPr>
          <w:rFonts w:hint="eastAsia"/>
        </w:rPr>
        <w:t>pounds</w:t>
      </w:r>
      <w:r w:rsidR="00E4152A">
        <w:t>, due to the project requires 1</w:t>
      </w:r>
      <m:oMath>
        <m:sSup>
          <m:sSupPr>
            <m:ctrlPr>
              <w:rPr>
                <w:rFonts w:ascii="Cambria Math" w:hAnsi="Cambria Math"/>
              </w:rPr>
            </m:ctrlPr>
          </m:sSupPr>
          <m:e>
            <m:r>
              <w:rPr>
                <w:rFonts w:ascii="Cambria Math" w:hAnsi="Cambria Math"/>
              </w:rPr>
              <m:t>km</m:t>
            </m:r>
          </m:e>
          <m:sup>
            <m:r>
              <w:rPr>
                <w:rFonts w:ascii="Cambria Math" w:hAnsi="Cambria Math"/>
              </w:rPr>
              <m:t>2</m:t>
            </m:r>
          </m:sup>
        </m:sSup>
      </m:oMath>
      <w:r w:rsidR="00E4152A">
        <w:rPr>
          <w:rFonts w:hint="eastAsia"/>
        </w:rPr>
        <w:t xml:space="preserve"> (</w:t>
      </w:r>
      <w:r w:rsidR="00E4152A">
        <w:t>100ha) area to accumulate 3 wind turbines.</w:t>
      </w:r>
    </w:p>
    <w:p w14:paraId="51B61854" w14:textId="77777777" w:rsidR="00141E9F" w:rsidRDefault="00141E9F" w:rsidP="00880E4D">
      <w:pPr>
        <w:ind w:left="360"/>
      </w:pPr>
    </w:p>
    <w:p w14:paraId="39E447C3" w14:textId="0D90BEAC" w:rsidR="00141E9F" w:rsidRPr="00E4152A" w:rsidRDefault="00141E9F" w:rsidP="00E4152A">
      <w:pPr>
        <w:pStyle w:val="ListParagraph"/>
        <w:numPr>
          <w:ilvl w:val="0"/>
          <w:numId w:val="3"/>
        </w:numPr>
        <w:ind w:firstLineChars="0"/>
        <w:rPr>
          <w:b/>
        </w:rPr>
      </w:pPr>
      <w:r w:rsidRPr="00E4152A">
        <w:rPr>
          <w:b/>
        </w:rPr>
        <w:t xml:space="preserve">Land Ownership Certificate </w:t>
      </w:r>
    </w:p>
    <w:p w14:paraId="3D3553DD" w14:textId="77777777" w:rsidR="00141E9F" w:rsidRDefault="00141E9F" w:rsidP="00880E4D">
      <w:pPr>
        <w:ind w:left="360"/>
      </w:pPr>
    </w:p>
    <w:p w14:paraId="6627B7EB" w14:textId="20FBB00D" w:rsidR="00141E9F" w:rsidRDefault="00141E9F" w:rsidP="00E4152A">
      <w:pPr>
        <w:pStyle w:val="ListParagraph"/>
        <w:numPr>
          <w:ilvl w:val="0"/>
          <w:numId w:val="3"/>
        </w:numPr>
        <w:ind w:firstLineChars="0"/>
        <w:rPr>
          <w:b/>
        </w:rPr>
      </w:pPr>
      <w:r w:rsidRPr="00E4152A">
        <w:rPr>
          <w:b/>
        </w:rPr>
        <w:t>Plans and drawings</w:t>
      </w:r>
    </w:p>
    <w:p w14:paraId="2463DF82" w14:textId="77777777" w:rsidR="00E4152A" w:rsidRPr="00E4152A" w:rsidRDefault="00E4152A" w:rsidP="00E4152A">
      <w:pPr>
        <w:pStyle w:val="ListParagraph"/>
        <w:rPr>
          <w:b/>
        </w:rPr>
      </w:pPr>
    </w:p>
    <w:p w14:paraId="33402FC2" w14:textId="4CF253F5" w:rsidR="00E4152A" w:rsidRPr="00E4152A" w:rsidRDefault="00E4152A" w:rsidP="00E4152A">
      <w:pPr>
        <w:ind w:firstLineChars="150" w:firstLine="315"/>
        <w:rPr>
          <w:b/>
        </w:rPr>
      </w:pPr>
      <w:r w:rsidRPr="00E4152A">
        <w:rPr>
          <w:b/>
        </w:rPr>
        <w:t>1.2 if need environment impact assessment (EIA)</w:t>
      </w:r>
    </w:p>
    <w:p w14:paraId="729DA22F" w14:textId="01418A79" w:rsidR="00E4152A" w:rsidRPr="00E4152A" w:rsidRDefault="00E4152A" w:rsidP="00E4152A">
      <w:pPr>
        <w:ind w:leftChars="150" w:left="315"/>
      </w:pPr>
      <w:r w:rsidRPr="00E4152A">
        <w:t xml:space="preserve">In addition, </w:t>
      </w:r>
      <w:r>
        <w:t>due to the project meets “</w:t>
      </w:r>
      <w:r w:rsidRPr="00E4152A">
        <w:t>Construction of overhead electrical power lines with a voltage of 220 kV or more and a length of more than 15 km</w:t>
      </w:r>
      <w:r>
        <w:t>” (</w:t>
      </w:r>
      <w:r w:rsidR="00864A37" w:rsidRPr="00FD4190">
        <w:t>Scottish</w:t>
      </w:r>
      <w:r w:rsidR="00864A37">
        <w:t xml:space="preserve"> Government</w:t>
      </w:r>
      <w:r>
        <w:t>, 201</w:t>
      </w:r>
      <w:r w:rsidR="00864A37">
        <w:t>7</w:t>
      </w:r>
      <w:r>
        <w:t xml:space="preserve">). An Environment Impact Assessment (EIA) is required for the application of planning permission.  </w:t>
      </w:r>
    </w:p>
    <w:p w14:paraId="61F2AFC8" w14:textId="66432201" w:rsidR="00880E4D" w:rsidRDefault="00B507FA" w:rsidP="00B507FA">
      <w:r>
        <w:t xml:space="preserve">   Similarly, the EIA report requires the information includes (</w:t>
      </w:r>
      <w:bookmarkStart w:id="1" w:name="_Hlk536611273"/>
      <w:r w:rsidR="00FD4190" w:rsidRPr="00FD4190">
        <w:t>Scottish</w:t>
      </w:r>
      <w:r w:rsidR="00FD4190">
        <w:t xml:space="preserve"> Government, 2017</w:t>
      </w:r>
      <w:bookmarkEnd w:id="1"/>
      <w:r w:rsidR="00FD4190">
        <w:t>):</w:t>
      </w:r>
    </w:p>
    <w:p w14:paraId="24259E90" w14:textId="6920A419" w:rsidR="00B507FA" w:rsidRDefault="00B507FA" w:rsidP="00B507FA">
      <w:pPr>
        <w:pStyle w:val="ListParagraph"/>
        <w:numPr>
          <w:ilvl w:val="0"/>
          <w:numId w:val="4"/>
        </w:numPr>
        <w:ind w:firstLineChars="0"/>
      </w:pPr>
      <w:r w:rsidRPr="00B507FA">
        <w:t>A description of the development, including in particular</w:t>
      </w:r>
    </w:p>
    <w:p w14:paraId="24443132" w14:textId="77777777" w:rsidR="008849FD" w:rsidRDefault="008849FD" w:rsidP="008849FD">
      <w:pPr>
        <w:pStyle w:val="ListParagraph"/>
        <w:ind w:left="680" w:firstLineChars="0" w:firstLine="0"/>
      </w:pPr>
    </w:p>
    <w:p w14:paraId="383C8946" w14:textId="67200408" w:rsidR="00B507FA" w:rsidRDefault="00B507FA" w:rsidP="00B507FA">
      <w:pPr>
        <w:pStyle w:val="ListParagraph"/>
        <w:numPr>
          <w:ilvl w:val="0"/>
          <w:numId w:val="4"/>
        </w:numPr>
        <w:ind w:firstLineChars="0"/>
      </w:pPr>
      <w:r w:rsidRPr="00B507FA">
        <w:t>A description of the reasonable alternatives (for example in terms of development design, technology, location, size and scale) studied by the developer, which are relevant to the proposed project and its specific characteristics, and an indication of the main reasons for selecting the chosen option, including a comparison of the environmental effects.</w:t>
      </w:r>
    </w:p>
    <w:p w14:paraId="211C57C5" w14:textId="77777777" w:rsidR="008849FD" w:rsidRDefault="008849FD" w:rsidP="008849FD">
      <w:pPr>
        <w:pStyle w:val="ListParagraph"/>
      </w:pPr>
    </w:p>
    <w:p w14:paraId="5247A1F0" w14:textId="77777777" w:rsidR="008849FD" w:rsidRDefault="008849FD" w:rsidP="008849FD">
      <w:pPr>
        <w:pStyle w:val="ListParagraph"/>
        <w:ind w:left="680" w:firstLineChars="0" w:firstLine="0"/>
      </w:pPr>
    </w:p>
    <w:p w14:paraId="544A5EC4" w14:textId="0528EB03" w:rsidR="00B507FA" w:rsidRDefault="00B507FA" w:rsidP="00B507FA">
      <w:pPr>
        <w:pStyle w:val="ListParagraph"/>
        <w:numPr>
          <w:ilvl w:val="0"/>
          <w:numId w:val="4"/>
        </w:numPr>
        <w:ind w:firstLineChars="0"/>
      </w:pPr>
      <w:r w:rsidRPr="00B507FA">
        <w:t xml:space="preserve">A description of the relevant aspects of the current state of the environment (baseline scenario) and an outline of the likely evolution thereof without implementation of the </w:t>
      </w:r>
      <w:r>
        <w:t>development.</w:t>
      </w:r>
    </w:p>
    <w:p w14:paraId="0DCC8CFD" w14:textId="77777777" w:rsidR="008849FD" w:rsidRDefault="008849FD" w:rsidP="008849FD">
      <w:pPr>
        <w:pStyle w:val="ListParagraph"/>
        <w:ind w:left="680" w:firstLineChars="0" w:firstLine="0"/>
      </w:pPr>
    </w:p>
    <w:p w14:paraId="112FEAEC" w14:textId="3493FEC7" w:rsidR="00B507FA" w:rsidRDefault="00B507FA" w:rsidP="00B507FA">
      <w:pPr>
        <w:pStyle w:val="ListParagraph"/>
        <w:numPr>
          <w:ilvl w:val="0"/>
          <w:numId w:val="4"/>
        </w:numPr>
        <w:ind w:firstLineChars="0"/>
      </w:pPr>
      <w:r>
        <w:t xml:space="preserve">A description of the factors likely to be significantly affected by the development: population, human health, biodiversity (for example fauna and flora), land (for example land take), soil (for </w:t>
      </w:r>
      <w:r>
        <w:lastRenderedPageBreak/>
        <w:t xml:space="preserve">example organic matter, erosion, compaction, sealing), water (for example </w:t>
      </w:r>
      <w:r w:rsidR="00FD4190">
        <w:t>hydro morphological</w:t>
      </w:r>
      <w:r>
        <w:t xml:space="preserve"> changes, quantity and quality), air, climate (for example greenhouse gas emissions, impacts relevant to adaptation), material assets, cultural heritage, including architectural and archaeological aspects, and landscape.</w:t>
      </w:r>
    </w:p>
    <w:p w14:paraId="0C8B2382" w14:textId="77777777" w:rsidR="008849FD" w:rsidRDefault="008849FD" w:rsidP="008849FD">
      <w:pPr>
        <w:pStyle w:val="ListParagraph"/>
      </w:pPr>
    </w:p>
    <w:p w14:paraId="4B6F6BE6" w14:textId="77777777" w:rsidR="008849FD" w:rsidRDefault="008849FD" w:rsidP="008849FD">
      <w:pPr>
        <w:pStyle w:val="ListParagraph"/>
        <w:ind w:left="680" w:firstLineChars="0" w:firstLine="0"/>
      </w:pPr>
    </w:p>
    <w:p w14:paraId="76540D5D" w14:textId="6B44B78A" w:rsidR="00B507FA" w:rsidRDefault="00B507FA" w:rsidP="00B507FA">
      <w:pPr>
        <w:pStyle w:val="ListParagraph"/>
        <w:numPr>
          <w:ilvl w:val="0"/>
          <w:numId w:val="4"/>
        </w:numPr>
        <w:ind w:firstLineChars="0"/>
      </w:pPr>
      <w:r>
        <w:t>A description of the likely significant effects of the development on the environment resulting from.</w:t>
      </w:r>
    </w:p>
    <w:p w14:paraId="464221EB" w14:textId="77777777" w:rsidR="008849FD" w:rsidRDefault="008849FD" w:rsidP="008849FD">
      <w:pPr>
        <w:pStyle w:val="ListParagraph"/>
        <w:ind w:left="680" w:firstLineChars="0" w:firstLine="0"/>
      </w:pPr>
    </w:p>
    <w:p w14:paraId="31155BD7" w14:textId="721C06B7" w:rsidR="00B507FA" w:rsidRDefault="00B507FA" w:rsidP="00B507FA">
      <w:pPr>
        <w:pStyle w:val="ListParagraph"/>
        <w:numPr>
          <w:ilvl w:val="0"/>
          <w:numId w:val="4"/>
        </w:numPr>
        <w:ind w:firstLineChars="0"/>
      </w:pPr>
      <w:r>
        <w:t>The description of the likely significant effects on the indirect factors.</w:t>
      </w:r>
    </w:p>
    <w:p w14:paraId="3922365B" w14:textId="77777777" w:rsidR="008849FD" w:rsidRDefault="008849FD" w:rsidP="008849FD">
      <w:pPr>
        <w:pStyle w:val="ListParagraph"/>
      </w:pPr>
    </w:p>
    <w:p w14:paraId="383A8C39" w14:textId="77777777" w:rsidR="008849FD" w:rsidRDefault="008849FD" w:rsidP="008849FD">
      <w:pPr>
        <w:pStyle w:val="ListParagraph"/>
        <w:ind w:left="680" w:firstLineChars="0" w:firstLine="0"/>
      </w:pPr>
    </w:p>
    <w:p w14:paraId="1B711901" w14:textId="4D9F5130" w:rsidR="00B507FA" w:rsidRDefault="00B507FA" w:rsidP="00B507FA">
      <w:pPr>
        <w:pStyle w:val="ListParagraph"/>
        <w:numPr>
          <w:ilvl w:val="0"/>
          <w:numId w:val="4"/>
        </w:numPr>
        <w:ind w:firstLineChars="0"/>
      </w:pPr>
      <w:r>
        <w:t>A description of the forecasting methods or evidence used to identify and assess the significant effects on the environment.</w:t>
      </w:r>
    </w:p>
    <w:p w14:paraId="73FA8696" w14:textId="77777777" w:rsidR="008849FD" w:rsidRDefault="008849FD" w:rsidP="008849FD">
      <w:pPr>
        <w:pStyle w:val="ListParagraph"/>
        <w:ind w:left="680" w:firstLineChars="0" w:firstLine="0"/>
      </w:pPr>
    </w:p>
    <w:p w14:paraId="5CD9034B" w14:textId="59276AAB" w:rsidR="00B507FA" w:rsidRDefault="00B507FA" w:rsidP="00B507FA">
      <w:pPr>
        <w:pStyle w:val="ListParagraph"/>
        <w:numPr>
          <w:ilvl w:val="0"/>
          <w:numId w:val="4"/>
        </w:numPr>
        <w:ind w:firstLineChars="0"/>
      </w:pPr>
      <w:r>
        <w:t xml:space="preserve">A description of the measures envisaged to avoid, prevent, reduce or, if possible, offset any identified significant adverse effects on the environment and, where appropriate, of any proposed monitoring arrangements (for example the preparation of a post-project analysis). </w:t>
      </w:r>
    </w:p>
    <w:p w14:paraId="583404CD" w14:textId="77777777" w:rsidR="008849FD" w:rsidRDefault="008849FD" w:rsidP="008849FD">
      <w:pPr>
        <w:pStyle w:val="ListParagraph"/>
        <w:ind w:left="680" w:firstLineChars="0" w:firstLine="0"/>
      </w:pPr>
    </w:p>
    <w:p w14:paraId="0C603C7A" w14:textId="6D0A14C3" w:rsidR="00B507FA" w:rsidRDefault="00B507FA" w:rsidP="00B507FA">
      <w:pPr>
        <w:pStyle w:val="ListParagraph"/>
        <w:numPr>
          <w:ilvl w:val="0"/>
          <w:numId w:val="4"/>
        </w:numPr>
        <w:ind w:firstLineChars="0"/>
      </w:pPr>
      <w:r>
        <w:t xml:space="preserve">A description of the expected significant adverse effects of the development on the environment deriving from the vulnerability of the development to risks of major accidents and/or disasters which are relevant to the project concerned. </w:t>
      </w:r>
    </w:p>
    <w:p w14:paraId="3480C3A9" w14:textId="77777777" w:rsidR="008849FD" w:rsidRDefault="008849FD" w:rsidP="008849FD">
      <w:pPr>
        <w:pStyle w:val="ListParagraph"/>
      </w:pPr>
    </w:p>
    <w:p w14:paraId="36CB68D0" w14:textId="77777777" w:rsidR="008849FD" w:rsidRDefault="008849FD" w:rsidP="008849FD">
      <w:pPr>
        <w:pStyle w:val="ListParagraph"/>
        <w:ind w:left="680" w:firstLineChars="0" w:firstLine="0"/>
      </w:pPr>
    </w:p>
    <w:p w14:paraId="62FCBAD5" w14:textId="3D47132C" w:rsidR="00B507FA" w:rsidRDefault="00B507FA" w:rsidP="00B507FA">
      <w:pPr>
        <w:pStyle w:val="ListParagraph"/>
        <w:numPr>
          <w:ilvl w:val="0"/>
          <w:numId w:val="4"/>
        </w:numPr>
        <w:ind w:firstLineChars="0"/>
      </w:pPr>
      <w:r>
        <w:t>A non-technical summary of the information provided under paragraphs 1 to 8.</w:t>
      </w:r>
    </w:p>
    <w:p w14:paraId="6AB7499C" w14:textId="77777777" w:rsidR="008849FD" w:rsidRDefault="008849FD" w:rsidP="008849FD">
      <w:pPr>
        <w:pStyle w:val="ListParagraph"/>
        <w:ind w:left="680" w:firstLineChars="0" w:firstLine="0"/>
      </w:pPr>
    </w:p>
    <w:p w14:paraId="10D50BCD" w14:textId="40DEE3E5" w:rsidR="008849FD" w:rsidRDefault="00B507FA" w:rsidP="008849FD">
      <w:pPr>
        <w:pStyle w:val="ListParagraph"/>
        <w:numPr>
          <w:ilvl w:val="0"/>
          <w:numId w:val="4"/>
        </w:numPr>
        <w:ind w:firstLineChars="0"/>
      </w:pPr>
      <w:r>
        <w:t xml:space="preserve">A reference </w:t>
      </w:r>
      <w:r w:rsidR="008849FD">
        <w:t>lists.</w:t>
      </w:r>
    </w:p>
    <w:p w14:paraId="58326ACC" w14:textId="77777777" w:rsidR="008849FD" w:rsidRDefault="008849FD" w:rsidP="008849FD">
      <w:pPr>
        <w:pStyle w:val="ListParagraph"/>
      </w:pPr>
    </w:p>
    <w:p w14:paraId="680156DC" w14:textId="5D5B4B63" w:rsidR="008849FD" w:rsidRDefault="004A65FB" w:rsidP="008849FD">
      <w:pPr>
        <w:pStyle w:val="ListParagraph"/>
        <w:numPr>
          <w:ilvl w:val="0"/>
          <w:numId w:val="1"/>
        </w:numPr>
        <w:ind w:firstLineChars="0"/>
        <w:rPr>
          <w:b/>
        </w:rPr>
      </w:pPr>
      <w:r w:rsidRPr="008849FD">
        <w:rPr>
          <w:b/>
        </w:rPr>
        <w:t xml:space="preserve">Matters Specified in Conditions (MSC) </w:t>
      </w:r>
    </w:p>
    <w:p w14:paraId="50D07FC1" w14:textId="77777777" w:rsidR="00FD4190" w:rsidRDefault="008849FD" w:rsidP="00FD4190">
      <w:pPr>
        <w:rPr>
          <w:rFonts w:ascii="Century Gothic" w:eastAsia="SimSun" w:hAnsi="Century Gothic" w:cs="SimSun"/>
          <w:color w:val="1B1919"/>
          <w:kern w:val="0"/>
          <w:sz w:val="22"/>
          <w:szCs w:val="28"/>
        </w:rPr>
      </w:pPr>
      <w:r w:rsidRPr="008849FD">
        <w:t>After the planning permission is granted,</w:t>
      </w:r>
      <w:r>
        <w:t xml:space="preserve"> the project should apply</w:t>
      </w:r>
      <w:r w:rsidRPr="008849FD">
        <w:t xml:space="preserve"> the approval of Matters Specified in Conditions (MSC)</w:t>
      </w:r>
      <w:r>
        <w:t xml:space="preserve">, because </w:t>
      </w:r>
      <w:r w:rsidRPr="008849FD">
        <w:t>The PPP</w:t>
      </w:r>
      <w:r>
        <w:rPr>
          <w:b/>
        </w:rPr>
        <w:t xml:space="preserve"> </w:t>
      </w:r>
      <w:r w:rsidRPr="00E53916">
        <w:rPr>
          <w:rFonts w:ascii="Century Gothic" w:eastAsia="SimSun" w:hAnsi="Century Gothic" w:cs="SimSun"/>
          <w:color w:val="1B1919"/>
          <w:kern w:val="0"/>
          <w:sz w:val="22"/>
          <w:szCs w:val="28"/>
        </w:rPr>
        <w:t>does not enable physical works to be undertaken on a site</w:t>
      </w:r>
      <w:r>
        <w:rPr>
          <w:rFonts w:ascii="Century Gothic" w:eastAsia="SimSun" w:hAnsi="Century Gothic" w:cs="SimSun"/>
          <w:color w:val="1B1919"/>
          <w:kern w:val="0"/>
          <w:sz w:val="22"/>
          <w:szCs w:val="28"/>
        </w:rPr>
        <w:t xml:space="preserve"> without the MSC. The MSC requires the documents and information below</w:t>
      </w:r>
      <w:r w:rsidR="00FD4190">
        <w:rPr>
          <w:rFonts w:ascii="Century Gothic" w:eastAsia="SimSun" w:hAnsi="Century Gothic" w:cs="SimSun"/>
          <w:color w:val="1B1919"/>
          <w:kern w:val="0"/>
          <w:sz w:val="22"/>
          <w:szCs w:val="28"/>
        </w:rPr>
        <w:t xml:space="preserve"> (</w:t>
      </w:r>
      <w:r w:rsidR="00FD4190" w:rsidRPr="00880E4D">
        <w:t>North Ayrshire Council, 2019</w:t>
      </w:r>
      <w:r w:rsidR="00FD4190">
        <w:rPr>
          <w:rFonts w:ascii="Century Gothic" w:eastAsia="SimSun" w:hAnsi="Century Gothic" w:cs="SimSun"/>
          <w:color w:val="1B1919"/>
          <w:kern w:val="0"/>
          <w:sz w:val="22"/>
          <w:szCs w:val="28"/>
        </w:rPr>
        <w:t>).</w:t>
      </w:r>
    </w:p>
    <w:p w14:paraId="4373092E" w14:textId="77777777" w:rsidR="00FD4190" w:rsidRDefault="00FD4190" w:rsidP="008849FD">
      <w:pPr>
        <w:rPr>
          <w:rFonts w:ascii="Century Gothic" w:eastAsia="SimSun" w:hAnsi="Century Gothic" w:cs="SimSun"/>
          <w:color w:val="1B1919"/>
          <w:kern w:val="0"/>
          <w:sz w:val="22"/>
          <w:szCs w:val="28"/>
        </w:rPr>
      </w:pPr>
    </w:p>
    <w:p w14:paraId="4FF460AC" w14:textId="50F81FEA" w:rsidR="00FD4190" w:rsidRPr="008849FD" w:rsidRDefault="008849FD" w:rsidP="00FD4190">
      <w:pPr>
        <w:widowControl/>
        <w:numPr>
          <w:ilvl w:val="0"/>
          <w:numId w:val="5"/>
        </w:numPr>
        <w:shd w:val="clear" w:color="auto" w:fill="FBF8F8"/>
        <w:spacing w:after="120"/>
        <w:ind w:left="480"/>
        <w:jc w:val="left"/>
        <w:textAlignment w:val="baseline"/>
        <w:rPr>
          <w:rFonts w:ascii="Century Gothic" w:eastAsia="SimSun" w:hAnsi="Century Gothic" w:cs="SimSun"/>
          <w:color w:val="1B1919"/>
          <w:kern w:val="0"/>
          <w:sz w:val="22"/>
          <w:szCs w:val="28"/>
        </w:rPr>
      </w:pPr>
      <w:r w:rsidRPr="008849FD">
        <w:rPr>
          <w:rFonts w:ascii="Century Gothic" w:eastAsia="SimSun" w:hAnsi="Century Gothic" w:cs="SimSun"/>
          <w:color w:val="1B1919"/>
          <w:kern w:val="0"/>
          <w:sz w:val="22"/>
          <w:szCs w:val="28"/>
        </w:rPr>
        <w:t>the means of access</w:t>
      </w:r>
    </w:p>
    <w:p w14:paraId="022F869A" w14:textId="77777777" w:rsidR="008849FD" w:rsidRPr="008849FD" w:rsidRDefault="008849FD" w:rsidP="008849FD">
      <w:pPr>
        <w:widowControl/>
        <w:numPr>
          <w:ilvl w:val="0"/>
          <w:numId w:val="5"/>
        </w:numPr>
        <w:shd w:val="clear" w:color="auto" w:fill="FBF8F8"/>
        <w:spacing w:after="120"/>
        <w:ind w:left="480"/>
        <w:jc w:val="left"/>
        <w:textAlignment w:val="baseline"/>
        <w:rPr>
          <w:rFonts w:ascii="Century Gothic" w:eastAsia="SimSun" w:hAnsi="Century Gothic" w:cs="SimSun"/>
          <w:color w:val="1B1919"/>
          <w:kern w:val="0"/>
          <w:sz w:val="22"/>
          <w:szCs w:val="28"/>
        </w:rPr>
      </w:pPr>
      <w:r w:rsidRPr="008849FD">
        <w:rPr>
          <w:rFonts w:ascii="Century Gothic" w:eastAsia="SimSun" w:hAnsi="Century Gothic" w:cs="SimSun"/>
          <w:color w:val="1B1919"/>
          <w:kern w:val="0"/>
          <w:sz w:val="22"/>
          <w:szCs w:val="28"/>
        </w:rPr>
        <w:t>layout</w:t>
      </w:r>
    </w:p>
    <w:p w14:paraId="744B769E" w14:textId="77777777" w:rsidR="008849FD" w:rsidRPr="008849FD" w:rsidRDefault="008849FD" w:rsidP="008849FD">
      <w:pPr>
        <w:widowControl/>
        <w:numPr>
          <w:ilvl w:val="0"/>
          <w:numId w:val="5"/>
        </w:numPr>
        <w:shd w:val="clear" w:color="auto" w:fill="FBF8F8"/>
        <w:spacing w:after="120"/>
        <w:ind w:left="480"/>
        <w:jc w:val="left"/>
        <w:textAlignment w:val="baseline"/>
        <w:rPr>
          <w:rFonts w:ascii="Century Gothic" w:eastAsia="SimSun" w:hAnsi="Century Gothic" w:cs="SimSun"/>
          <w:color w:val="1B1919"/>
          <w:kern w:val="0"/>
          <w:sz w:val="22"/>
          <w:szCs w:val="28"/>
        </w:rPr>
      </w:pPr>
      <w:r w:rsidRPr="008849FD">
        <w:rPr>
          <w:rFonts w:ascii="Century Gothic" w:eastAsia="SimSun" w:hAnsi="Century Gothic" w:cs="SimSun"/>
          <w:color w:val="1B1919"/>
          <w:kern w:val="0"/>
          <w:sz w:val="22"/>
          <w:szCs w:val="28"/>
        </w:rPr>
        <w:t>building designs</w:t>
      </w:r>
    </w:p>
    <w:p w14:paraId="0E127FD8" w14:textId="77777777" w:rsidR="008849FD" w:rsidRPr="008849FD" w:rsidRDefault="008849FD" w:rsidP="008849FD">
      <w:pPr>
        <w:widowControl/>
        <w:numPr>
          <w:ilvl w:val="0"/>
          <w:numId w:val="5"/>
        </w:numPr>
        <w:shd w:val="clear" w:color="auto" w:fill="FBF8F8"/>
        <w:spacing w:after="120"/>
        <w:ind w:left="480"/>
        <w:jc w:val="left"/>
        <w:textAlignment w:val="baseline"/>
        <w:rPr>
          <w:rFonts w:ascii="Century Gothic" w:eastAsia="SimSun" w:hAnsi="Century Gothic" w:cs="SimSun"/>
          <w:color w:val="1B1919"/>
          <w:kern w:val="0"/>
          <w:sz w:val="22"/>
          <w:szCs w:val="28"/>
        </w:rPr>
      </w:pPr>
      <w:r w:rsidRPr="008849FD">
        <w:rPr>
          <w:rFonts w:ascii="Century Gothic" w:eastAsia="SimSun" w:hAnsi="Century Gothic" w:cs="SimSun"/>
          <w:color w:val="1B1919"/>
          <w:kern w:val="0"/>
          <w:sz w:val="22"/>
          <w:szCs w:val="28"/>
        </w:rPr>
        <w:t>sustainable drainage</w:t>
      </w:r>
    </w:p>
    <w:p w14:paraId="76BF2FFF" w14:textId="77777777" w:rsidR="008849FD" w:rsidRPr="008849FD" w:rsidRDefault="008849FD" w:rsidP="008849FD">
      <w:pPr>
        <w:widowControl/>
        <w:numPr>
          <w:ilvl w:val="0"/>
          <w:numId w:val="5"/>
        </w:numPr>
        <w:shd w:val="clear" w:color="auto" w:fill="FBF8F8"/>
        <w:spacing w:after="120"/>
        <w:ind w:left="480"/>
        <w:jc w:val="left"/>
        <w:textAlignment w:val="baseline"/>
        <w:rPr>
          <w:rFonts w:ascii="Century Gothic" w:eastAsia="SimSun" w:hAnsi="Century Gothic" w:cs="SimSun"/>
          <w:color w:val="1B1919"/>
          <w:kern w:val="0"/>
          <w:sz w:val="22"/>
          <w:szCs w:val="28"/>
        </w:rPr>
      </w:pPr>
      <w:r w:rsidRPr="008849FD">
        <w:rPr>
          <w:rFonts w:ascii="Century Gothic" w:eastAsia="SimSun" w:hAnsi="Century Gothic" w:cs="SimSun"/>
          <w:color w:val="1B1919"/>
          <w:kern w:val="0"/>
          <w:sz w:val="22"/>
          <w:szCs w:val="28"/>
        </w:rPr>
        <w:t>open space</w:t>
      </w:r>
    </w:p>
    <w:p w14:paraId="1FA14220" w14:textId="77777777" w:rsidR="008849FD" w:rsidRPr="008849FD" w:rsidRDefault="008849FD" w:rsidP="008849FD">
      <w:pPr>
        <w:widowControl/>
        <w:numPr>
          <w:ilvl w:val="0"/>
          <w:numId w:val="5"/>
        </w:numPr>
        <w:shd w:val="clear" w:color="auto" w:fill="FBF8F8"/>
        <w:spacing w:after="120"/>
        <w:ind w:left="480"/>
        <w:jc w:val="left"/>
        <w:textAlignment w:val="baseline"/>
        <w:rPr>
          <w:rFonts w:ascii="Century Gothic" w:eastAsia="SimSun" w:hAnsi="Century Gothic" w:cs="SimSun"/>
          <w:color w:val="1B1919"/>
          <w:kern w:val="0"/>
          <w:sz w:val="22"/>
          <w:szCs w:val="28"/>
        </w:rPr>
      </w:pPr>
      <w:r w:rsidRPr="008849FD">
        <w:rPr>
          <w:rFonts w:ascii="Century Gothic" w:eastAsia="SimSun" w:hAnsi="Century Gothic" w:cs="SimSun"/>
          <w:color w:val="1B1919"/>
          <w:kern w:val="0"/>
          <w:sz w:val="22"/>
          <w:szCs w:val="28"/>
        </w:rPr>
        <w:t>landscaping</w:t>
      </w:r>
    </w:p>
    <w:p w14:paraId="1ED95321" w14:textId="2B90B3FB" w:rsidR="008849FD" w:rsidRPr="008849FD" w:rsidRDefault="008849FD" w:rsidP="008849FD">
      <w:r w:rsidRPr="008849FD">
        <w:t>The MSC application should be in three years after the PPP was granted</w:t>
      </w:r>
      <w:r>
        <w:t xml:space="preserve">, due to the permission will </w:t>
      </w:r>
      <w:r w:rsidRPr="008849FD">
        <w:t>lapse.</w:t>
      </w:r>
    </w:p>
    <w:p w14:paraId="779CED2A" w14:textId="52B2FB13" w:rsidR="004A65FB" w:rsidRDefault="00FD4190" w:rsidP="004A65FB">
      <w:pPr>
        <w:rPr>
          <w:b/>
        </w:rPr>
      </w:pPr>
      <w:r w:rsidRPr="00FD4190">
        <w:rPr>
          <w:b/>
        </w:rPr>
        <w:lastRenderedPageBreak/>
        <w:t xml:space="preserve">Reference </w:t>
      </w:r>
    </w:p>
    <w:p w14:paraId="3756F380" w14:textId="79E854DA" w:rsidR="00FD4190" w:rsidRDefault="00FD4190" w:rsidP="004A65FB">
      <w:r w:rsidRPr="00FD4190">
        <w:t>Scottish</w:t>
      </w:r>
      <w:r>
        <w:t xml:space="preserve"> Government</w:t>
      </w:r>
      <w:r w:rsidR="00FD5851">
        <w:t xml:space="preserve">. 2017, </w:t>
      </w:r>
      <w:r w:rsidR="00FD5851" w:rsidRPr="00FD5851">
        <w:rPr>
          <w:i/>
        </w:rPr>
        <w:t>THE TOWN AND COUNTRY PLANNING (ENVIRONMENTAL IMPACT ASSESSMENT) (SCOTLAND) REGULATIONS 2017</w:t>
      </w:r>
      <w:r w:rsidR="00FD5851">
        <w:t xml:space="preserve">, </w:t>
      </w:r>
      <w:r w:rsidR="00D41C8B">
        <w:t>Scottish Government</w:t>
      </w:r>
      <w:r w:rsidR="0004405D">
        <w:t>, Scotland.</w:t>
      </w:r>
    </w:p>
    <w:p w14:paraId="72FF05C1" w14:textId="77777777" w:rsidR="0004405D" w:rsidRDefault="0004405D" w:rsidP="00FD4190">
      <w:pPr>
        <w:rPr>
          <w:b/>
        </w:rPr>
      </w:pPr>
    </w:p>
    <w:p w14:paraId="76F83551" w14:textId="4F511B73" w:rsidR="00FD4190" w:rsidRPr="0004405D" w:rsidRDefault="0004405D" w:rsidP="0004405D">
      <w:proofErr w:type="spellStart"/>
      <w:r w:rsidRPr="0004405D">
        <w:t>Eplanning</w:t>
      </w:r>
      <w:proofErr w:type="spellEnd"/>
      <w:r w:rsidRPr="0004405D">
        <w:t>,</w:t>
      </w:r>
      <w:r>
        <w:t xml:space="preserve"> </w:t>
      </w:r>
      <w:r w:rsidRPr="0004405D">
        <w:t xml:space="preserve">2019. </w:t>
      </w:r>
      <w:r w:rsidRPr="0004405D">
        <w:rPr>
          <w:i/>
        </w:rPr>
        <w:t>Fee calculator</w:t>
      </w:r>
      <w:r w:rsidRPr="0004405D">
        <w:t xml:space="preserve">. </w:t>
      </w:r>
      <w:proofErr w:type="spellStart"/>
      <w:r w:rsidRPr="0004405D">
        <w:t>Eplanning.scot</w:t>
      </w:r>
      <w:proofErr w:type="spellEnd"/>
      <w:r w:rsidRPr="0004405D">
        <w:t xml:space="preserve">, </w:t>
      </w:r>
      <w:r w:rsidRPr="0004405D">
        <w:t>[Online]</w:t>
      </w:r>
      <w:r w:rsidRPr="0004405D">
        <w:t xml:space="preserve"> </w:t>
      </w:r>
      <w:r w:rsidRPr="0004405D">
        <w:t>Available at:</w:t>
      </w:r>
      <w:r w:rsidRPr="0004405D">
        <w:t xml:space="preserve"> </w:t>
      </w:r>
      <w:hyperlink r:id="rId5" w:history="1">
        <w:r w:rsidRPr="0004405D">
          <w:t>https://www.eplanning.scot/ePlanningClient/custompages/feecalculator.aspx</w:t>
        </w:r>
      </w:hyperlink>
      <w:r>
        <w:t xml:space="preserve"> </w:t>
      </w:r>
      <w:r w:rsidRPr="0004405D">
        <w:t>[accessed</w:t>
      </w:r>
      <w:r w:rsidRPr="0004405D">
        <w:t>27</w:t>
      </w:r>
      <w:r w:rsidRPr="0004405D">
        <w:t xml:space="preserve"> </w:t>
      </w:r>
      <w:r w:rsidRPr="0004405D">
        <w:t>January</w:t>
      </w:r>
      <w:r w:rsidRPr="0004405D">
        <w:t xml:space="preserve"> 20</w:t>
      </w:r>
      <w:r w:rsidRPr="0004405D">
        <w:t>19</w:t>
      </w:r>
      <w:r w:rsidRPr="0004405D">
        <w:t>]</w:t>
      </w:r>
    </w:p>
    <w:p w14:paraId="09FFD7E3" w14:textId="77777777" w:rsidR="0004405D" w:rsidRPr="0004405D" w:rsidRDefault="0004405D" w:rsidP="00FD4190">
      <w:pPr>
        <w:rPr>
          <w:rFonts w:hint="eastAsia"/>
          <w:b/>
        </w:rPr>
      </w:pPr>
    </w:p>
    <w:p w14:paraId="60311CE3" w14:textId="04405D71" w:rsidR="0004405D" w:rsidRPr="0004405D" w:rsidRDefault="0004405D" w:rsidP="0004405D">
      <w:r w:rsidRPr="0004405D">
        <w:t>North</w:t>
      </w:r>
      <w:r w:rsidRPr="0004405D">
        <w:t xml:space="preserve"> </w:t>
      </w:r>
      <w:r w:rsidRPr="0004405D">
        <w:t>Ayrshire Council</w:t>
      </w:r>
      <w:r w:rsidRPr="0004405D">
        <w:t xml:space="preserve">, 2019. </w:t>
      </w:r>
      <w:r w:rsidRPr="0004405D">
        <w:rPr>
          <w:i/>
        </w:rPr>
        <w:t>Make a planning application</w:t>
      </w:r>
      <w:r w:rsidRPr="0004405D">
        <w:t xml:space="preserve">. </w:t>
      </w:r>
      <w:r w:rsidRPr="0004405D">
        <w:t>North Ayrshire Council</w:t>
      </w:r>
      <w:r w:rsidRPr="0004405D">
        <w:t xml:space="preserve">, </w:t>
      </w:r>
      <w:r w:rsidRPr="0004405D">
        <w:t>[Online] Available at:</w:t>
      </w:r>
      <w:r w:rsidRPr="0004405D">
        <w:t xml:space="preserve"> </w:t>
      </w:r>
      <w:hyperlink r:id="rId6" w:history="1">
        <w:r w:rsidRPr="0004405D">
          <w:t>https://www.north-ayrshire.gov.uk/planning-and-building-standards/make-a-planning-application.aspx</w:t>
        </w:r>
      </w:hyperlink>
      <w:r w:rsidRPr="0004405D">
        <w:t xml:space="preserve"> </w:t>
      </w:r>
      <w:r w:rsidRPr="0004405D">
        <w:t>[accessed2</w:t>
      </w:r>
      <w:r>
        <w:t>8</w:t>
      </w:r>
      <w:r w:rsidRPr="0004405D">
        <w:t xml:space="preserve"> January 2019]</w:t>
      </w:r>
    </w:p>
    <w:p w14:paraId="15AC3971" w14:textId="0B245D00" w:rsidR="00864A37" w:rsidRDefault="00864A37" w:rsidP="0004405D">
      <w:pPr>
        <w:pStyle w:val="Heading2"/>
        <w:spacing w:before="0" w:beforeAutospacing="0" w:after="0" w:afterAutospacing="0"/>
        <w:textAlignment w:val="baseline"/>
        <w:rPr>
          <w:rFonts w:asciiTheme="minorHAnsi" w:eastAsiaTheme="minorEastAsia" w:hAnsiTheme="minorHAnsi" w:cstheme="minorBidi"/>
          <w:b w:val="0"/>
          <w:bCs w:val="0"/>
          <w:kern w:val="2"/>
          <w:sz w:val="21"/>
          <w:szCs w:val="22"/>
        </w:rPr>
      </w:pPr>
    </w:p>
    <w:p w14:paraId="4CC922E3" w14:textId="6392682B" w:rsidR="00864A37" w:rsidRDefault="00864A37" w:rsidP="00864A37">
      <w:r w:rsidRPr="00FD4190">
        <w:t>Scottish</w:t>
      </w:r>
      <w:r>
        <w:t xml:space="preserve"> Government. 2017,</w:t>
      </w:r>
      <w:r w:rsidRPr="00864A37">
        <w:t xml:space="preserve"> </w:t>
      </w:r>
      <w:r w:rsidRPr="00864A37">
        <w:rPr>
          <w:i/>
        </w:rPr>
        <w:t>DESCRIPTIONS OF DEVELOPMENT FOR THE PURPOSES OF THE DEFINITION OF “SCHEDULE 1 DEVELOPMENT</w:t>
      </w:r>
      <w:r>
        <w:t>, Scottish Government, Scotland.</w:t>
      </w:r>
    </w:p>
    <w:p w14:paraId="0D107E47" w14:textId="788CB5F7" w:rsidR="00864A37" w:rsidRDefault="00864A37" w:rsidP="0004405D">
      <w:pPr>
        <w:pStyle w:val="Heading2"/>
        <w:spacing w:before="0" w:beforeAutospacing="0" w:after="0" w:afterAutospacing="0"/>
        <w:textAlignment w:val="baseline"/>
        <w:rPr>
          <w:rFonts w:asciiTheme="minorHAnsi" w:eastAsiaTheme="minorEastAsia" w:hAnsiTheme="minorHAnsi" w:cstheme="minorBidi"/>
          <w:b w:val="0"/>
          <w:bCs w:val="0"/>
          <w:kern w:val="2"/>
          <w:sz w:val="21"/>
          <w:szCs w:val="22"/>
        </w:rPr>
      </w:pPr>
    </w:p>
    <w:p w14:paraId="7CAC4DC6" w14:textId="3440CB4B" w:rsidR="00864A37" w:rsidRDefault="00864A37" w:rsidP="00864A37">
      <w:r w:rsidRPr="00FD4190">
        <w:t>Scottish</w:t>
      </w:r>
      <w:r>
        <w:t xml:space="preserve"> Government. 2017,</w:t>
      </w:r>
      <w:r w:rsidRPr="00864A37">
        <w:t xml:space="preserve"> </w:t>
      </w:r>
      <w:r w:rsidRPr="00864A37">
        <w:rPr>
          <w:i/>
        </w:rPr>
        <w:t>DESCRIPTIONS OF DEVELOPMENT AND APPLICABLE THRESHOLDS AND CRITERIA FOR THE PURPOSES OF THE DEFINITION OF “SCHEDULE 2 DEVELOPMENT</w:t>
      </w:r>
      <w:r>
        <w:t>, Scottish Government, Scotland.</w:t>
      </w:r>
    </w:p>
    <w:p w14:paraId="492DCA07" w14:textId="77777777" w:rsidR="00864A37" w:rsidRPr="00864A37" w:rsidRDefault="00864A37" w:rsidP="0004405D">
      <w:pPr>
        <w:pStyle w:val="Heading2"/>
        <w:spacing w:before="0" w:beforeAutospacing="0" w:after="0" w:afterAutospacing="0"/>
        <w:textAlignment w:val="baseline"/>
        <w:rPr>
          <w:rFonts w:asciiTheme="minorHAnsi" w:eastAsiaTheme="minorEastAsia" w:hAnsiTheme="minorHAnsi" w:cstheme="minorBidi" w:hint="eastAsia"/>
          <w:b w:val="0"/>
          <w:bCs w:val="0"/>
          <w:kern w:val="2"/>
          <w:sz w:val="21"/>
          <w:szCs w:val="22"/>
        </w:rPr>
      </w:pPr>
    </w:p>
    <w:sectPr w:rsidR="00864A37" w:rsidRPr="00864A37">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62CDA"/>
    <w:multiLevelType w:val="multilevel"/>
    <w:tmpl w:val="C41C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5038C3"/>
    <w:multiLevelType w:val="multilevel"/>
    <w:tmpl w:val="C1A0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7B4CBC"/>
    <w:multiLevelType w:val="multilevel"/>
    <w:tmpl w:val="34C4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B8142A"/>
    <w:multiLevelType w:val="multilevel"/>
    <w:tmpl w:val="55FC181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70303D3"/>
    <w:multiLevelType w:val="hybridMultilevel"/>
    <w:tmpl w:val="91585EC4"/>
    <w:lvl w:ilvl="0" w:tplc="C78CDC42">
      <w:start w:val="1"/>
      <w:numFmt w:val="upperLetter"/>
      <w:lvlText w:val="%1."/>
      <w:lvlJc w:val="left"/>
      <w:pPr>
        <w:ind w:left="720" w:hanging="360"/>
      </w:pPr>
      <w:rPr>
        <w:rFonts w:eastAsiaTheme="minorHAnsi"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7AD05BFC"/>
    <w:multiLevelType w:val="hybridMultilevel"/>
    <w:tmpl w:val="B1745E24"/>
    <w:lvl w:ilvl="0" w:tplc="181C6D5A">
      <w:start w:val="1"/>
      <w:numFmt w:val="upperLetter"/>
      <w:lvlText w:val="%1."/>
      <w:lvlJc w:val="left"/>
      <w:pPr>
        <w:ind w:left="680" w:hanging="360"/>
      </w:pPr>
      <w:rPr>
        <w:rFonts w:hint="default"/>
        <w:b/>
      </w:rPr>
    </w:lvl>
    <w:lvl w:ilvl="1" w:tplc="04090019" w:tentative="1">
      <w:start w:val="1"/>
      <w:numFmt w:val="lowerLetter"/>
      <w:lvlText w:val="%2)"/>
      <w:lvlJc w:val="left"/>
      <w:pPr>
        <w:ind w:left="1160" w:hanging="420"/>
      </w:p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217"/>
    <w:rsid w:val="0004405D"/>
    <w:rsid w:val="00141E9F"/>
    <w:rsid w:val="001B4217"/>
    <w:rsid w:val="002E3A6C"/>
    <w:rsid w:val="004A65FB"/>
    <w:rsid w:val="00864A37"/>
    <w:rsid w:val="00880E4D"/>
    <w:rsid w:val="008849FD"/>
    <w:rsid w:val="00B507FA"/>
    <w:rsid w:val="00B760F9"/>
    <w:rsid w:val="00C54B2A"/>
    <w:rsid w:val="00D41C8B"/>
    <w:rsid w:val="00E4152A"/>
    <w:rsid w:val="00F01527"/>
    <w:rsid w:val="00FD4190"/>
    <w:rsid w:val="00FD5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27D9E"/>
  <w15:chartTrackingRefBased/>
  <w15:docId w15:val="{59E60FF2-DB0E-4414-BBAD-DC17AE1C0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04405D"/>
    <w:pPr>
      <w:widowControl/>
      <w:spacing w:before="100" w:beforeAutospacing="1" w:after="100" w:afterAutospacing="1"/>
      <w:jc w:val="left"/>
      <w:outlineLvl w:val="1"/>
    </w:pPr>
    <w:rPr>
      <w:rFonts w:ascii="SimSun" w:eastAsia="SimSun" w:hAnsi="SimSun" w:cs="SimSu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5FB"/>
    <w:pPr>
      <w:ind w:firstLineChars="200" w:firstLine="420"/>
    </w:pPr>
  </w:style>
  <w:style w:type="character" w:styleId="Hyperlink">
    <w:name w:val="Hyperlink"/>
    <w:basedOn w:val="DefaultParagraphFont"/>
    <w:uiPriority w:val="99"/>
    <w:unhideWhenUsed/>
    <w:rsid w:val="00F01527"/>
    <w:rPr>
      <w:color w:val="0000FF"/>
      <w:u w:val="single"/>
    </w:rPr>
  </w:style>
  <w:style w:type="character" w:styleId="PlaceholderText">
    <w:name w:val="Placeholder Text"/>
    <w:basedOn w:val="DefaultParagraphFont"/>
    <w:uiPriority w:val="99"/>
    <w:semiHidden/>
    <w:rsid w:val="00E4152A"/>
    <w:rPr>
      <w:color w:val="808080"/>
    </w:rPr>
  </w:style>
  <w:style w:type="paragraph" w:customStyle="1" w:styleId="ng-binding">
    <w:name w:val="ng-binding"/>
    <w:basedOn w:val="Normal"/>
    <w:rsid w:val="00FD4190"/>
    <w:pPr>
      <w:widowControl/>
      <w:spacing w:before="100" w:beforeAutospacing="1" w:after="100" w:afterAutospacing="1"/>
      <w:jc w:val="left"/>
    </w:pPr>
    <w:rPr>
      <w:rFonts w:ascii="SimSun" w:eastAsia="SimSun" w:hAnsi="SimSun" w:cs="SimSun"/>
      <w:kern w:val="0"/>
      <w:sz w:val="24"/>
      <w:szCs w:val="24"/>
    </w:rPr>
  </w:style>
  <w:style w:type="character" w:styleId="UnresolvedMention">
    <w:name w:val="Unresolved Mention"/>
    <w:basedOn w:val="DefaultParagraphFont"/>
    <w:uiPriority w:val="99"/>
    <w:semiHidden/>
    <w:unhideWhenUsed/>
    <w:rsid w:val="0004405D"/>
    <w:rPr>
      <w:color w:val="605E5C"/>
      <w:shd w:val="clear" w:color="auto" w:fill="E1DFDD"/>
    </w:rPr>
  </w:style>
  <w:style w:type="character" w:customStyle="1" w:styleId="Heading2Char">
    <w:name w:val="Heading 2 Char"/>
    <w:basedOn w:val="DefaultParagraphFont"/>
    <w:link w:val="Heading2"/>
    <w:uiPriority w:val="9"/>
    <w:rsid w:val="0004405D"/>
    <w:rPr>
      <w:rFonts w:ascii="SimSun" w:eastAsia="SimSun" w:hAnsi="SimSun" w:cs="SimSun"/>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20172">
      <w:bodyDiv w:val="1"/>
      <w:marLeft w:val="0"/>
      <w:marRight w:val="0"/>
      <w:marTop w:val="0"/>
      <w:marBottom w:val="0"/>
      <w:divBdr>
        <w:top w:val="none" w:sz="0" w:space="0" w:color="auto"/>
        <w:left w:val="none" w:sz="0" w:space="0" w:color="auto"/>
        <w:bottom w:val="none" w:sz="0" w:space="0" w:color="auto"/>
        <w:right w:val="none" w:sz="0" w:space="0" w:color="auto"/>
      </w:divBdr>
    </w:div>
    <w:div w:id="631906418">
      <w:bodyDiv w:val="1"/>
      <w:marLeft w:val="0"/>
      <w:marRight w:val="0"/>
      <w:marTop w:val="0"/>
      <w:marBottom w:val="0"/>
      <w:divBdr>
        <w:top w:val="none" w:sz="0" w:space="0" w:color="auto"/>
        <w:left w:val="none" w:sz="0" w:space="0" w:color="auto"/>
        <w:bottom w:val="none" w:sz="0" w:space="0" w:color="auto"/>
        <w:right w:val="none" w:sz="0" w:space="0" w:color="auto"/>
      </w:divBdr>
    </w:div>
    <w:div w:id="1805654412">
      <w:bodyDiv w:val="1"/>
      <w:marLeft w:val="0"/>
      <w:marRight w:val="0"/>
      <w:marTop w:val="0"/>
      <w:marBottom w:val="0"/>
      <w:divBdr>
        <w:top w:val="none" w:sz="0" w:space="0" w:color="auto"/>
        <w:left w:val="none" w:sz="0" w:space="0" w:color="auto"/>
        <w:bottom w:val="none" w:sz="0" w:space="0" w:color="auto"/>
        <w:right w:val="none" w:sz="0" w:space="0" w:color="auto"/>
      </w:divBdr>
    </w:div>
    <w:div w:id="1870683807">
      <w:bodyDiv w:val="1"/>
      <w:marLeft w:val="0"/>
      <w:marRight w:val="0"/>
      <w:marTop w:val="0"/>
      <w:marBottom w:val="0"/>
      <w:divBdr>
        <w:top w:val="none" w:sz="0" w:space="0" w:color="auto"/>
        <w:left w:val="none" w:sz="0" w:space="0" w:color="auto"/>
        <w:bottom w:val="none" w:sz="0" w:space="0" w:color="auto"/>
        <w:right w:val="none" w:sz="0" w:space="0" w:color="auto"/>
      </w:divBdr>
    </w:div>
    <w:div w:id="2117866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orth-ayrshire.gov.uk/planning-and-building-standards/make-a-planning-application.aspx" TargetMode="External"/><Relationship Id="rId5" Type="http://schemas.openxmlformats.org/officeDocument/2006/relationships/hyperlink" Target="https://www.eplanning.scot/ePlanningClient/custompages/feecalculator.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cp:keywords/>
  <dc:description/>
  <cp:lastModifiedBy>Frank</cp:lastModifiedBy>
  <cp:revision>4</cp:revision>
  <dcterms:created xsi:type="dcterms:W3CDTF">2019-01-30T11:26:00Z</dcterms:created>
  <dcterms:modified xsi:type="dcterms:W3CDTF">2019-01-30T23:07:00Z</dcterms:modified>
</cp:coreProperties>
</file>