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4048" cy="3840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ject_ico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第十五届全国大学生软件创新大赛</w:t>
              <w:br/>
            </w: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文档编号：SWC2022-T20220001-代码一定队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ic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4"/>
        </w:rPr>
        <w:t>灵犀智影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NeoVision</w:t>
      </w:r>
    </w:p>
    <w:p>
      <w:r>
        <w:br/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8"/>
        </w:rPr>
        <w:t>项目测试文档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Version: 2.0.7</w:t>
      </w:r>
    </w:p>
    <w:p>
      <w:r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666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logo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6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队名要好好起不然不队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2026-3-9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All Rights Reserved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701" w:bottom="1440" w:left="1701" w:header="850" w:footer="85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8"/>
        </w:rPr>
        <w:t>目录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fldChar w:fldCharType="begin"/>
        <w:instrText xml:space="preserve">TOC \o "1-3" \h \z \u</w:instrText>
        <w:fldChar w:fldCharType="separate"/>
        <w:t>右键更新目录</w:t>
        <w:fldChar w:fldCharType="end"/>
      </w:r>
    </w:p>
    <w:p>
      <w:r>
        <w:br w:type="page"/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版本号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修订人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修订日期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创建文档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队员A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2025.11.1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补充封面信息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队员B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2025.11.1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补充测试计划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队员C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2025.11.6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补充测试范围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队员D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2025.11.9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补充单元测试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1.0.5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队员A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2025.11.12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补充功能测试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1.0.6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队员B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2025.11.16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新增系统测试章节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队员C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2025.11.20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统一接口命名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队员D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2025.11.24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补充模型测试用例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队员A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2025.11.27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优化表述与排版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队员B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2025.11.29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发布版本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2.0.5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队名要好好起不然不队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2025.11.30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补充CPDM预测测试内容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2.0.6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队员C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2026.03.09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补充医生好友添加测试内容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2.0.7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队员D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2026.03.09</w:t>
            </w:r>
          </w:p>
        </w:tc>
      </w:tr>
    </w:tbl>
    <w:p>
      <w:pPr>
        <w:sectPr>
          <w:pgSz w:w="11906" w:h="16838"/>
          <w:pgMar w:top="1440" w:right="1701" w:bottom="1440" w:left="1701" w:header="850" w:footer="850" w:gutter="0"/>
          <w:cols w:space="720"/>
          <w:docGrid w:linePitch="360"/>
          <w:pgNumType w:fmt="upperRoman" w:start="1"/>
        </w:sectPr>
      </w:pPr>
    </w:p>
    <w:p>
      <w:pPr>
        <w:pStyle w:val="Heading1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1 测试计划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1.1 测试策略与目标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本文档用于规范灵犀智影（NeoVision）项目测试活动，采用“接口单元测试 + 业务功能测试 + 系统性能测试”的分层策略。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测试目标为验证接口正确性、核心流程稳定性、异常处理完整性与系统可用性，在未执行真实压测与全量回归的前提下，给出可落地的预期结果与风险建议。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采用技术与方法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使用自动化接口测试、手工场景测试与静态检查相结合的方式进行，重点覆盖鉴权、患者管理、影像上传、分割推理、CTV处理和智能体对话。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开始标准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接口文档、数据库结构与前端交互路径已明确；测试环境与基础数据已准备。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完成标准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核心接口均有对应测试用例；主要业务流具备预期结果；关键异常路径有明确处理预期。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测试重点和优先级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P0：鉴权、分割、文件上传；P1：患者与轮廓管理；P2：智能体与热力图。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暂不覆盖项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第三方外部服务不可用场景的真实联调与线上性能极限测试。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质量门禁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关键流程预期通过率100%，非关键流程预期通过率不低于95%。</w:t>
            </w:r>
          </w:p>
        </w:tc>
      </w:tr>
    </w:tbl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1.2 测试范围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测试范围覆盖前端调用的全部后端/模型接口，包含鉴权模块、患者模块、影像与序列模块、分割模型模块、轮廓模块、文件模块、CTV模块及智能体模块。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835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2835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测试类型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鉴权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/api/auth/login, POST /api/auth/register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患者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GET/POST/PUT/DELETE /api/patients*, POST /api/patients/{id}/review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轮廓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GET/PUT/GET(download)/POST(upsert) /api/patients/{id}/contours*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序列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GET/POST/PUT/DELETE /api/patients/{id}/studies*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文件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/api/patients/{id}/studies/{studyId}/upload, GET/DELETE /api/files/{fileId}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分割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/api/studies/{studyId}/segment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多模态分割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/api/studies/{studyId}/segment/multimodal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模型查询/下载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/api/studies/{studyId}/model, /download/volume, /download/label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CTV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/api/ctv/refine, /api/ctv/expand, /api/ctv/heatmap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CPDM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/api/cpdm/ct2pet, GET /api/cpdm/jobs/{jobId}, GET /api/cpdm/jobs/{jobId}/result, GET /api/cpdm/outputs/{jobId}/{filename}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医生社交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/api/patients/social/doctors, GET /api/patients/social/friends, POST/DELETE /api/patients/social/friends/{friendId}</w:t>
            </w:r>
          </w:p>
        </w:tc>
        <w:tc>
          <w:tcPr>
            <w:tcW w:type="dxa" w:w="2835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  <w:tr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/health, GET /api/agent/history, POST /api/agent/chat, /chat/stream</w:t>
            </w:r>
          </w:p>
        </w:tc>
        <w:tc>
          <w:tcPr>
            <w:tcW w:type="dxa" w:w="2835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单元+功能</w:t>
            </w:r>
          </w:p>
        </w:tc>
      </w:tr>
    </w:tbl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1.3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前端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UniApp（H5），Node.js 18+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后端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Java 21，Spring Cloud 微服务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模型服务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Python 3.9+ / Flask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数据库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MySQL 8.0.41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缓存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Redis 8.2.2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对象存储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阿里云 OSS（测试可替换本地路径）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测试终端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Windows 11，Edge/Chrome 最新稳定版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测试数据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示例患者、NRRD/MHA 影像、标签文件、多模态四通道数据</w:t>
            </w:r>
          </w:p>
        </w:tc>
      </w:tr>
    </w:tbl>
    <w:p>
      <w:pPr>
        <w:pStyle w:val="Heading1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2 单元测试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 登录鉴权接口模块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001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登录鉴权接口模块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/api/auth/login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验证账号密码登录鉴权与令牌返回逻辑。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2.2 用户注册接口模块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2.2.1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002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用户注册接口模块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/api/auth/register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验证用户注册字段校验与账号创建。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2.2.2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2.2.3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2.3 患者列表查询接口模块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2.3.1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003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患者列表查询接口模块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/api/patients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验证按关键字检索患者列表。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2.3.2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2.3.3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2.4 患者新增与详情接口模块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2.4.1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004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患者新增与详情接口模块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/api/patients；GET /api/patients/{id}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验证患者新增与详情查询链路。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2.4.2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2.4.3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2.5 患者更新与删除接口模块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2.5.1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005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患者更新与删除接口模块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PUT /api/patients/{id}；DELETE /api/patients/{id}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验证编辑与删除行为。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2.5.2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2.5.3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2.6 患者评审与轮廓写入接口模块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2.6.1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006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患者评审与轮廓写入接口模块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/api/patients/{id}/review；POST /api/patients/{id}/contours/upsert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验证整案评审与轮廓写入。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2.6.2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2.6.3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2.7 轮廓查询接口模块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2.7.1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007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轮廓查询接口模块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/api/patients/{id}/contours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验证轮廓结果列表查询。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2.7.2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2.7.3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2.8 轮廓状态更新接口模块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2.8.1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008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轮廓状态更新接口模块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PUT /api/patients/{id}/contours/{contourId}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验证轮廓状态更新。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2.8.2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2.8.3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2.9 轮廓下载接口模块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2.9.1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009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轮廓下载接口模块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/api/patients/{id}/contours/{contourId}/download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验证轮廓下载链接返回。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2.9.2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2.9.3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2.10 序列管理接口模块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2.10.1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010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序列管理接口模块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GET/POST/PUT/DELETE /api/patients/{id}/studies*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验证序列新增、查询、更新、删除。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2.10.2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2.10.3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2.11 文件上传与文件信息接口模块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2.11.1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011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文件上传与文件信息接口模块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/api/patients/{id}/studies/{studyId}/upload；GET/DELETE /api/files/{fileId}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验证文件上传与元数据管理。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2.11.2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2.11.3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2.12 单模态分割接口模块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2.12.1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012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单模态分割接口模块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/api/studies/{studyId}/segment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验证单文件分割推理与结果持久化。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2.12.2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2.12.3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2.13 多模态分割接口模块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2.13.1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013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多模态分割接口模块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/api/studies/{studyId}/segment/multimodal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验证四模态输入校验与分割输出。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2.13.2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2.13.3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2.14 模型获取与下载接口模块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2.14.1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014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模型获取与下载接口模块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/api/studies/{studyId}/model；GET /api/studies/{studyId}/download/volume；GET /api/studies/{studyId}/download/label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验证模型信息返回与下载跳转。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2.14.2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2.14.3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2.15 CTV算法接口模块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2.15.1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015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CTV算法接口模块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/api/ctv/refine；POST /api/ctv/expand；POST /api/ctv/heatmap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验证CTV处理链路与热力图输出。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2.15.2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2.15.3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2.16 CPDM预测接口模块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2.16.1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016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CPDM预测接口模块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/api/cpdm/ct2pet；GET /api/cpdm/jobs/{jobId}；GET /api/cpdm/jobs/{jobId}/result；GET /api/cpdm/outputs/{jobId}/{filename}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验证CPDM任务提交、状态轮询、结果查询与PNG输出访问。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2.16.2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2.16.3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2.17 医生社交与好友管理接口模块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2.17.1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017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医生社交与好友管理接口模块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/api/patients/social/doctors；GET /api/patients/social/friends；POST /api/patients/social/friends/{friendId}；DELETE /api/patients/social/friends/{friendId}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验证医生检索、好友添加、好友删除与列表状态同步。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2.17.2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2.17.3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2.18 智能体接口模块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2.18.1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018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测试单元描述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智能体接口模块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接口范围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 /health；GET /api/agent/history；POST /api/agent/chat；POST /api/agent/chat/stream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用例目的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验证智能体健康检查、历史会话与对话响应。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测试账号可用，服务与数据库已启动，必要样本数据已准备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约束与说明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返回体采用 {code, message, data}，以预期结果评估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预期结论</w:t>
            </w:r>
          </w:p>
        </w:tc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接口返回结构完整，关键字段正确，异常分支可解释</w:t>
            </w:r>
          </w:p>
        </w:tc>
      </w:tr>
      <w:tr>
        <w:tc>
          <w:tcPr>
            <w:tcW w:type="dxa" w:w="4252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关联用例</w:t>
            </w:r>
          </w:p>
        </w:tc>
        <w:tc>
          <w:tcPr>
            <w:tcW w:type="dxa" w:w="4252"/>
            <w:shd w:val="clear" w:color="auto" w:fill="F8F1E8"/>
          </w:tcPr>
          <w:p>
            <w:pPr>
              <w:spacing w:before="0" w:after="0" w:lineRule="auto" w:line="288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具体步骤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实际输出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合法参数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返回成功且data结构完整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缺失必填参数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返回参数错误提示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无效ID/越权令牌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返回未授权或资源不存在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与期望一致（预期）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测试结果分析：该模块覆盖了正常输入、参数缺失和异常资源三类路径，预期均可返回可解释结果。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2.18.2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该模块在预期条件下可满足业务要求；建议在联调阶段增加边界数据、并发请求和长会话场景验证，以降低生产不确定性。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2.18.3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单元测试应优先保证输入校验、错误码一致性和关键字段完整性，接口命名与返回结构应保持跨服务统一。</w:t>
      </w:r>
    </w:p>
    <w:p>
      <w:pPr>
        <w:pStyle w:val="Heading1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3 功能测试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 用户注册功能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F01-01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F01-02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F01-03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F01-04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3.2 用户登录功能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3.2.1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F02-01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F02-02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F02-03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F02-04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3.2.2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3.2.3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3.3 患者新增功能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3.3.1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F03-01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F03-02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F03-03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F03-04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3.3.2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3.3.3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3.4 患者列表检索功能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3.4.1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F04-01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F04-02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F04-03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F04-04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3.4.2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3.4.3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3.5 患者详情查看功能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3.5.1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F05-01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F05-02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F05-03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F05-04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3.5.2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3.5.3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3.6 患者信息修改功能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3.6.1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F06-01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F06-02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F06-03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F06-04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3.6.2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3.6.3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3.7 患者评审确认功能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3.7.1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F07-01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F07-02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F07-03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F07-04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3.7.2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3.7.3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3.8 序列创建与查询功能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3.8.1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F08-01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F08-02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F08-03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F08-04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3.8.2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3.8.3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3.9 影像文件上传功能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3.9.1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F09-01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F09-02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F09-03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F09-04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3.9.2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3.9.3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3.10 单模态分割功能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3.10.1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F10-01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F10-02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F10-03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F10-04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3.10.2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3.10.3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3.11 多模态分割功能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3.11.1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F11-01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F11-02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F11-03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F11-04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3.11.2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3.11.3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3.12 GTV草图生成功能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3.12.1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F12-01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F12-02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F12-03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F12-04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3.12.2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3.12.3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3.13 CTV精修功能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3.13.1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F13-01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F13-02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F13-03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F13-04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3.13.2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3.13.3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3.14 CTV扩展与热力图功能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3.14.1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F14-01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F14-02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F14-03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F14-04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3.14.2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3.14.3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3.15 CPDM预测与结果下载功能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3.15.1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F15-01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F15-02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F15-03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F15-04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3.15.2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3.15.3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3.16 医生好友搜索与添加功能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3.16.1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F16-01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F16-02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F16-03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F16-04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3.16.2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3.16.3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3.17 智能体会话与历史功能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3.17.1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测试用例：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F17-01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执行标准流程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合法业务数据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流程可闭环并返回成功提示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F17-02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执行异常流程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缺失关键输入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给出明确错误提示且不产生脏数据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F17-03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重复或并发操作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重复提交/并发点击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系统状态一致，无重复写入</w:t>
            </w:r>
          </w:p>
        </w:tc>
        <w:tc>
          <w:tcPr>
            <w:tcW w:type="dxa" w:w="1701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  <w:tr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F17-04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返回页面复查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刷新后重新加载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关键结果可追溯、可再次查看</w:t>
            </w:r>
          </w:p>
        </w:tc>
        <w:tc>
          <w:tcPr>
            <w:tcW w:type="dxa" w:w="1701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测试结果分析：该功能在预期设计下可完成端到端闭环，异常输入具备可读反馈。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3.17.2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该功能预期结果符合需求。建议上线前增加真实临床数据抽样验证，并对关键操作增加审计日志与二次确认机制。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3.17.3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功能测试需从用户视角验证流程完整性，同时从接口视角验证状态一致性，确保前后端联动行为可复现。</w:t>
      </w:r>
    </w:p>
    <w:p>
      <w:pPr>
        <w:pStyle w:val="Heading1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4 系统测试</w:t>
      </w:r>
    </w:p>
    <w:p>
      <w:pPr>
        <w:pStyle w:val="Heading2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4.1 模型性能测试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4.1.1 测试用例与结果分析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在预期测试条件下，对单模态与多模态分割接口进行性能评估，重点关注响应耗时、成功率和结果稳定性。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126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目标值</w:t>
            </w:r>
          </w:p>
        </w:tc>
        <w:tc>
          <w:tcPr>
            <w:tcW w:type="dxa" w:w="2126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预期结果</w:t>
            </w:r>
          </w:p>
        </w:tc>
        <w:tc>
          <w:tcPr>
            <w:tcW w:type="dxa" w:w="2126"/>
            <w:shd w:val="clear" w:color="auto" w:fill="E26B0A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单次推理耗时（单模态）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&lt;= 30s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满足目标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预期通过</w:t>
            </w:r>
          </w:p>
        </w:tc>
      </w:tr>
      <w:tr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单次推理耗时（多模态）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&lt;= 45s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满足目标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预期通过</w:t>
            </w:r>
          </w:p>
        </w:tc>
      </w:tr>
      <w:tr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接口成功率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&gt;= 99%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满足目标</w:t>
            </w:r>
          </w:p>
        </w:tc>
        <w:tc>
          <w:tcPr>
            <w:tcW w:type="dxa" w:w="2126"/>
            <w:shd w:val="clear" w:color="auto" w:fill="FDE9D9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预期通过</w:t>
            </w:r>
          </w:p>
        </w:tc>
      </w:tr>
      <w:tr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异常输入拦截率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满足目标</w:t>
            </w:r>
          </w:p>
        </w:tc>
        <w:tc>
          <w:tcPr>
            <w:tcW w:type="dxa" w:w="2126"/>
            <w:shd w:val="clear" w:color="auto" w:fill="F8F1E8"/>
          </w:tcPr>
          <w:p>
            <w:pPr>
              <w:spacing w:before="0" w:after="0" w:lineRule="auto" w:line="288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预期通过</w:t>
            </w:r>
          </w:p>
        </w:tc>
      </w:tr>
    </w:tbl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4.1.2 测试结果综合分析及建议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系统在预期目标下可支撑当前业务规模。建议后续开展并发压测与长时运行测试，评估峰值流量下的资源弹性与稳定性。</w:t>
      </w:r>
    </w:p>
    <w:p>
      <w:pPr>
        <w:pStyle w:val="Heading3"/>
        <w:spacing w:before="160" w:after="120" w:line="360" w:lineRule="auto"/>
      </w:pPr>
      <w:r>
        <w:rPr>
          <w:rFonts w:ascii="Times New Roman" w:hAnsi="Times New Roman" w:eastAsia="Times New Roman"/>
          <w:b/>
          <w:color w:val="000000"/>
          <w:sz w:val="24"/>
        </w:rPr>
        <w:t>4.1.3 测试经验总结</w:t>
      </w:r>
    </w:p>
    <w:p>
      <w:pPr>
        <w:spacing w:before="0" w:after="0" w:lineRule="auto" w:line="360"/>
        <w:ind w:firstLine="48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系统测试应围绕真实业务链路构建指标体系，统一采样口径与日志追踪字段，以便快速定位性能瓶颈。</w:t>
      </w:r>
    </w:p>
    <w:sectPr w:rsidR="00FC693F" w:rsidRPr="0006063C" w:rsidSect="00034616">
      <w:pgSz w:w="11906" w:h="16838"/>
      <w:pgMar w:top="1440" w:right="1701" w:bottom="1440" w:left="1701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808080"/>
      </w:pBdr>
      <w:pBdr>
        <w:bottom w:val="single" w:sz="8" w:space="1" w:color="808080"/>
      </w:pBdr>
    </w:pPr>
    <w:r/>
    <w:r>
      <w:rPr>
        <w:rFonts w:ascii="Times New Roman" w:hAnsi="Times New Roman" w:eastAsia="Times New Roman"/>
        <w:b w:val="0"/>
        <w:color w:val="000000"/>
        <w:sz w:val="18"/>
      </w:rPr>
      <w:t xml:space="preserve">ShareTime    </w:t>
    </w:r>
    <w:r>
      <w:rPr>
        <w:rFonts w:ascii="Times New Roman" w:hAnsi="Times New Roman" w:eastAsia="Times New Roman"/>
        <w:b/>
        <w:color w:val="000000"/>
        <w:sz w:val="18"/>
      </w:rPr>
      <w:t>文档编号：SWC2022-T20220001-代码一定队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rPr>
      <w:rFonts w:ascii="Times New Roman" w:hAnsi="Times New Roman" w:eastAsia="Times New Roman"/>
      <w:sz w:val="24"/>
    </w:rPr>
  </w:style>
  <w:style w:type="paragraph" w:customStyle="1" w:styleId="TOC2">
    <w:name w:val="TOC 2"/>
    <w:rPr>
      <w:rFonts w:ascii="Times New Roman" w:hAnsi="Times New Roman" w:eastAsia="Times New Roman"/>
      <w:sz w:val="24"/>
    </w:rPr>
  </w:style>
  <w:style w:type="paragraph" w:customStyle="1" w:styleId="TOC3">
    <w:name w:val="TOC 3"/>
    <w:rPr>
      <w:rFonts w:ascii="Times New Roman" w:hAnsi="Times New Roman" w:eastAsia="Times New Roman"/>
      <w:sz w:val="24"/>
    </w:rPr>
  </w:style>
  <w:style w:type="paragraph" w:customStyle="1" w:styleId="TOC4">
    <w:name w:val="TOC 4"/>
    <w:rPr>
      <w:rFonts w:ascii="Times New Roman" w:hAnsi="Times New Roman" w:eastAsia="Times New Roman"/>
      <w:sz w:val="24"/>
    </w:rPr>
  </w:style>
  <w:style w:type="paragraph" w:customStyle="1" w:styleId="TOC5">
    <w:name w:val="TOC 5"/>
    <w:rPr>
      <w:rFonts w:ascii="Times New Roman" w:hAnsi="Times New Roman" w:eastAsia="Times New Roman"/>
      <w:sz w:val="24"/>
    </w:rPr>
  </w:style>
  <w:style w:type="paragraph" w:customStyle="1" w:styleId="TOC6">
    <w:name w:val="TOC 6"/>
    <w:rPr>
      <w:rFonts w:ascii="Times New Roman" w:hAnsi="Times New Roman" w:eastAsia="Times New Roman"/>
      <w:sz w:val="24"/>
    </w:rPr>
  </w:style>
  <w:style w:type="paragraph" w:customStyle="1" w:styleId="TOC7">
    <w:name w:val="TOC 7"/>
    <w:rPr>
      <w:rFonts w:ascii="Times New Roman" w:hAnsi="Times New Roman" w:eastAsia="Times New Roman"/>
      <w:sz w:val="24"/>
    </w:rPr>
  </w:style>
  <w:style w:type="paragraph" w:customStyle="1" w:styleId="TOC8">
    <w:name w:val="TOC 8"/>
    <w:rPr>
      <w:rFonts w:ascii="Times New Roman" w:hAnsi="Times New Roman" w:eastAsia="Times New Roman"/>
      <w:sz w:val="24"/>
    </w:rPr>
  </w:style>
  <w:style w:type="paragraph" w:customStyle="1" w:styleId="TOC9">
    <w:name w:val="TOC 9"/>
    <w:rPr>
      <w:rFonts w:ascii="Times New Roman" w:hAnsi="Times New Roman" w:eastAsia="Times New Roman"/>
      <w:sz w:val="24"/>
    </w:rPr>
  </w:style>
  <w:style w:type="paragraph" w:customStyle="1" w:styleId="TableofContents">
    <w:name w:val="Table of Contents"/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