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44"/>
        </w:rPr>
        <w:t>第十五届全国大学生软件创新大赛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文档编号：SWC2022-T20220001-代码一定队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64"/>
        </w:rPr>
        <w:t>灵犀智影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NeoVision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44"/>
        </w:rPr>
        <w:t>项目开发文档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Version: 4.0.1</w:t>
      </w:r>
    </w:p>
    <w:p/>
    <w:p/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代码一定队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6"/>
        </w:rPr>
        <w:t>2022-3-21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All Rights Reserved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目录</w:t>
      </w:r>
    </w:p>
    <w:p>
      <w:pPr>
        <w:spacing w:line="360" w:lineRule="auto"/>
        <w:ind w:left="0" w:firstLine="0"/>
      </w:pPr>
      <w:r>
        <w:rPr>
          <w:rFonts w:ascii="Times New Roman" w:hAnsi="Times New Roman" w:eastAsia="宋体"/>
          <w:b w:val="0"/>
          <w:sz w:val="24"/>
        </w:rPr>
        <w:t>4 需求分析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4.1 数据需求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4.1.1 静态数据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4.1.2 动态数据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4.1.3 数据词典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4.1.4 数据采集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4.2 功能需求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4.2.1 项目功能用例图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4.2.2 功能模块结构图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4.3 性能需求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4.3.1 时间特性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4.3.2 适应性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4.4 界面需求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4.4.1 登录与身份认证界面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4.4.2 患者列表与检索界面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4.4.3 患者详情与影像序列界面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4.4.4 GTV/CTV 标注与结果审核界面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4.4.5 CTV 外扩与热力图校核界面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4.4.6 三维模型浏览界面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4.4.7 联合会诊与消息协作界面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4.4.8 个人中心与系统设置界面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4.5 接口需求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4.5.1 硬件接口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4.5.2 软件接口</w:t>
      </w:r>
    </w:p>
    <w:p>
      <w:pPr>
        <w:spacing w:line="360" w:lineRule="auto"/>
        <w:ind w:left="454" w:firstLine="0"/>
      </w:pPr>
      <w:r>
        <w:rPr>
          <w:rFonts w:ascii="Times New Roman" w:hAnsi="Times New Roman" w:eastAsia="宋体"/>
          <w:b w:val="0"/>
          <w:sz w:val="24"/>
        </w:rPr>
        <w:t>4.6 其他需求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4.6.1 可使用性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4.6.2 安全性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4.6.3 可维护性</w:t>
      </w:r>
    </w:p>
    <w:p>
      <w:pPr>
        <w:spacing w:line="360" w:lineRule="auto"/>
        <w:ind w:left="907" w:firstLine="0"/>
      </w:pPr>
      <w:r>
        <w:rPr>
          <w:rFonts w:ascii="Times New Roman" w:hAnsi="Times New Roman" w:eastAsia="宋体"/>
          <w:b w:val="0"/>
          <w:sz w:val="24"/>
        </w:rPr>
        <w:t>4.6.4 可移植性</w:t>
      </w:r>
    </w:p>
    <w:p>
      <w:r>
        <w:br w:type="page"/>
      </w:r>
    </w:p>
    <w:p>
      <w:pPr>
        <w:pStyle w:val="Heading1"/>
        <w:spacing w:line="360" w:lineRule="auto"/>
        <w:ind w:firstLine="0"/>
      </w:pPr>
      <w:r>
        <w:rPr>
          <w:rFonts w:ascii="Times New Roman" w:hAnsi="Times New Roman" w:eastAsia="黑体"/>
          <w:b/>
          <w:sz w:val="32"/>
        </w:rPr>
        <w:t>4 需求分析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本章为灵犀智影（NeoVision）项目在初赛阶段形成的需求分析结果，围绕数据、功能、性能、界面、接口及其他质量属性展开，覆盖系统当前版本的核心业务边界与实现约束。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4.1 数据需求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4.1.1 静态数据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静态数据包括系统运行期相对稳定的数据与配置项，主要由数据库结构定义（如 doctor_user、patient、patient_study、contour_result 等表结构）、环境配置文件（.env、服务地址、存储桶配置）、模型参数文件（如分割模型权重）及界面字典配置组成。该类数据变更频率低，主要在部署、升级或运维阶段调整。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4.1.2 动态数据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系统动态数据包括但不限于以下类别：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医生与账号数据：登录状态、权限令牌、会话缓存、设备登录记录。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患者业务数据：患者基本信息、诊断分期、主治医生关联、病程更新信息。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影像与算法数据：DICOM/NIfTI 序列上传记录、GTV/CTV/OAR 轮廓版本、置信度热力图与 CPDM 结果。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协同会诊数据：会诊会话、成员角色、文本消息、附件索引与交互时间轴。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审计与监控数据：关键操作日志、异常日志、接口耗时与任务执行状态。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4.1.3 数据词典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表 4.1 项目数据词典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1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分类</w:t>
            </w:r>
          </w:p>
        </w:tc>
        <w:tc>
          <w:tcPr>
            <w:tcW w:type="dxa" w:w="2154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名称</w:t>
            </w:r>
          </w:p>
        </w:tc>
        <w:tc>
          <w:tcPr>
            <w:tcW w:type="dxa" w:w="4422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定义</w:t>
            </w:r>
          </w:p>
        </w:tc>
        <w:tc>
          <w:tcPr>
            <w:tcW w:type="dxa" w:w="90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类型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doctor_user.id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医生用户唯一标识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doctor_user.mobile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登录账号（手机号）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doctor_user.password_hash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加密存储的密码摘要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patient.patient_no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患者编号（业务唯一）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patient.name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患者姓名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patient.stage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肿瘤分期信息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patient.diagnosis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诊断信息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patient_study.study_uid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影像检查唯一号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patient_study.modality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影像模态（CT/MR/PET-CT）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patient_study.status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影像处理状态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轮廓类型（GTV/CTV/OAR）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contour_result.version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轮廓版本号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contour_result.status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轮廓审核状态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contour_result.storage_path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轮廓文件存储地址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contour_result.confidence_map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置信度热力图路径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file_upload.file_type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文件类型（dicom/nii/mesh/rtstruct）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file_upload.file_path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文件存储路径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consultation_session.title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会诊标题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consultation_member.role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会诊角色（OWNER/MEMBER）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consultation_message.message_type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消息类型（TEXT/FILE/IMAGE/MODEL/LINK）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consultation_message.oss_path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附件对象存储地址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系统数据</w:t>
            </w:r>
          </w:p>
        </w:tc>
        <w:tc>
          <w:tcPr>
            <w:tcW w:type="dxa" w:w="215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audit_log.action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操作类型（login/review/export）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</w:tr>
    </w:tbl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4.1.4 数据采集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项目数据采集路径如下：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临床业务数据：由医生在前端页面录入患者基础信息，影像序列通过系统上传接口接入，来源于院内检查系统导出的脱敏数据。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算法训练/验证数据：使用公开医学影像数据集（如 BraTS 系列）与项目内已有的脱敏样例（如 brats_2013_pat0001_1_Flair.mha）进行模型调参与验证。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轮廓标注数据：先由 AI 生成初稿，再由放疗医生在 GTV/CTV 页面精修，形成可追踪版本。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协同交互数据：会诊消息、附件与操作日志在业务流程执行时自动采集并持久化。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数据治理要求：所有采集数据均需满足脱敏、最小权限与审计留痕要求。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4.2 功能需求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4.2.1 项目功能用例图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系统核心参与者为放疗医生与会诊专家，外部协作对象包含模型推理服务与对象存储服务，业务用例如图 4.1 所示。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7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7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4.1 系统用例图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表 4.2 功能模块描述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功能模块</w:t>
            </w:r>
          </w:p>
        </w:tc>
        <w:tc>
          <w:tcPr>
            <w:tcW w:type="dxa" w:w="1701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功能点</w:t>
            </w:r>
          </w:p>
        </w:tc>
        <w:tc>
          <w:tcPr>
            <w:tcW w:type="dxa" w:w="4649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功能描述</w:t>
            </w:r>
          </w:p>
        </w:tc>
        <w:tc>
          <w:tcPr>
            <w:tcW w:type="dxa" w:w="907"/>
            <w:vAlign w:val="center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账户权限模块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录入姓名、医院、科室、手机号、密码并完成注册，校验账号唯一性。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账号密码鉴权成功后签发 Token，并返回医生基础信息。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令牌校验与续签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对受保护接口执行 Bearer Token 校验，支持会话续签。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登出与权限收敛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清理本地凭据并回收服务端会话状态。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患者管理模块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患者建档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新增患者编号、诊断、分期、主治医生等核心信息。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患者检索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按姓名、编号、诊断等条件模糊查询患者。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患者详情编辑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维护患者基础信息并记录更新时间。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影像序列模块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影像上传/登记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 DICOM/NIfTI 并建立 Study 元数据记录。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序列维护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更新模态、描述、状态等序列信息。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体数据与标签下载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下载 volume 与 label 数据供算法或复核使用。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靶区分割模块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多模态分割触发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调用模型服务执行分割任务并回传轮廓结果。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GTV 初稿管理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查看并保存 AI 生成的 GTV 初稿版本。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精修审核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医生修订 CTV 并提交审核状态。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轮廓状态流转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支持待确认、待精修、已确认状态切换与追踪。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决策模块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CTV 外扩计算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根据参数执行几何外扩并生成候选轮廓。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热力图/CPDM 校核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结合风险热图进行边界一致性分析。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质量指标输出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 Dice、HD95、体积偏差等指标。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三维可视化模块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模型加载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 Study 加载 GTV/CTV/OAR 三维模型。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图层与透明度控制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动态控制图层显隐、透明度与阈值。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剖切与测量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提供剖切、距离与体积测量工具。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会诊协作模块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会诊会话创建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创建会诊会话并关联患者与资料包。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成员管理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按好友关系添加/移除会诊成员并控制角色。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消息与附件协作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发送文本消息并上传图片、文件、模型链接。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会诊纪要导出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导出会诊关键结论与附件索引。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智能助手模块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病例问答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基于对话上下文与知识库回答临床问题。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历史追溯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查询历史对话与工具调用记录。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587"/>
            <w:vAlign w:val="center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系统支撑模块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审计日志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记录登录、导出、审核等关键操作日志。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任务监控与告警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跟踪分割任务状态并触发异常告警。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58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70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对象存储管理</w:t>
            </w:r>
          </w:p>
        </w:tc>
        <w:tc>
          <w:tcPr>
            <w:tcW w:type="dxa" w:w="464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统一管理影像、轮廓、会诊附件存储路径。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88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</w:tbl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4.2.2 功能模块结构图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功能模块分层结构如图 4.2 所示，体现“基础账号层—核心业务层—协作智能层”的演进关系。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67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modul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4.2 功能模块结构图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4.3 性能需求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4.3.1 时间特性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（1）响应时间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登录鉴权接口平均响应时间不高于 2s，95 分位不高于 3s。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患者列表与详情查询平均响应时间不高于 2s，复杂条件检索不高于 3s。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会诊文本消息端到端到达时间不高于 1s，附件消息应提供可视化上传进度。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（2）更新处理时间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多模态分割任务（单个病例）在标准 GPU 环境下处理时间不高于 120s。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CTV 外扩与热力图校核处理时间不高于 30s。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轮廓状态更新与版本写回数据库时间不高于 2s。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（3）数据转换与传输时间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3D 模型首屏加载时间不高于 5s，交互刷新帧率不低于 20 FPS。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影像序列上传采用分片策略，100MB 级文件在校园网环境下应可稳定完成。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（4）运行时间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系统支持 7×24 小时连续运行，日常维护窗口内不影响已登录用户关键业务。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4.3.2 适应性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系统在操作方式、运行环境与接口依赖变化时应具备适应能力：① 前端支持移动端与 H5 环境，保持核心流程一致；② 后端采用网关+微服务架构，接口可按版本演进；③ 模型侧支持替换分割模型与智能体模型而不改变业务入口；④ 在弱网条件下，上传、会诊消息与任务状态需具备重试与降级机制。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4.4 界面需求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本节给出 4.2 涉及的核心功能模块界面原型示意图，并对主要组件元素进行注解。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4.4.1 登录与身份认证界面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用于完成医生身份验证与初始权限进入。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4.3 登录与身份认证界面原型示意图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医院/科室切换；② 手机号输入框；③ 密码输入框；④ 登录按钮；⑤ 注册/找回入口。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4.4.2 患者列表与检索界面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用于展示患者总览并支持快速检索与筛选。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patient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4.4 患者列表与检索界面原型示意图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关键词检索框；② 筛选标签栏；③ 患者卡片列表；④ 新增患者按钮；⑤ 底部导航栏。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4.4.3 患者详情与影像序列界面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用于查看单个患者的完整业务数据并发起后续任务。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patient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4.5 患者详情与影像序列界面原型示意图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基础信息面板；② 影像序列列表；③ 上传/下载区；④ 分割结果摘要；⑤ 操作按钮组。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4.4.4 GTV/CTV 标注与结果审核界面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用于医生对 AI 初稿进行精修、审核与版本管理。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gtv_ct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4.6 GTV/CTV 标注与结果审核界面原型示意图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切片视图区；② 工具栏；③ 轮廓版本列表；④ 状态流转区；⑤ 保存与导出按钮。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4.4.5 CTV 外扩与热力图校核界面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用于基于规则与模型进行 CTV 外扩计算与风险核对。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7_ctv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4.7 CTV 外扩与热力图校核界面原型示意图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参数输入区；② 外扩结果预览；③ 热力图视图；④ 一致性评分；⑤ 一键确认按钮。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4.4.6 三维模型浏览界面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用于临床人员从三维角度复核靶区空间形态与邻近关系。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8_3d_vie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4.8 三维模型浏览界面原型示意图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3D 主渲染窗口；② 图层树；③ 透明度与阈值；④ 剖切与测量工具；⑤ 视角重置/导出。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4.4.7 联合会诊与消息协作界面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用于医生与专家完成病例协作沟通与材料共享。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9_consult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4.9 联合会诊与消息协作界面原型示意图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会诊会话列表；② 消息时间轴；③ 附件上传区；④ 输入与发送区；⑤ 成员管理抽屉。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4.4.8 个人中心与系统设置界面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用于账号设置、安全配置与个性化系统管理。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5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0_m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 4.10 个人中心与系统设置界面原型示意图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组件注解：① 医生信息卡；② 快捷功能入口；③ 系统参数设置；④ 安全设置；⑤ 退出登录按钮。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4.5 接口需求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4.5.1 硬件接口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本项目依赖如下硬件能力及其调用方式：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GPU 推理服务器：用于执行多模态分割、CTV 外扩等计算密集任务；后端通过 HTTP 接口调用模型服务，模型服务内部调用 CUDA 运行时与深度学习框架完成推理。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医生终端设备（手机/PC）：用于业务录入、轮廓审核与会诊协作；前端通过标准触控/鼠标交互触发接口调用。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对象存储与磁盘阵列：用于保存 DICOM、轮廓文件与会诊附件；系统通过 OSS SDK 或存储网关进行读写。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若部署环境不具备 GPU，可降级为 CPU 推理模式，但需接受更长的任务处理时间。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4.5.2 软件接口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系统软件接口由“内部服务接口”和“外部依赖接口”两部分构成：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内部服务接口：前端通过 REST API 访问网关，覆盖鉴权、患者、影像、轮廓、会诊、3D 模型等业务端点。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模型服务接口：通过 /api/studies/{studyId}/segment/multimodal、/api/ctv/expand、/api/agent/chat 等接口完成分割、外扩与智能问答。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数据与缓存接口：业务服务通过 MySQL 完成持久化，通过 Redis 管理会话与热点数据。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存储接口：通过 OSS 或文件存储服务保存影像文件与附件资源，返回统一路径供前端下载与回放。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⑤ 安全接口：所有业务接口默认使用 Bearer Token 鉴权，关键操作写入审计日志。</w:t>
      </w:r>
    </w:p>
    <w:p>
      <w:pPr>
        <w:pStyle w:val="Heading2"/>
        <w:spacing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4.6 其他需求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4.6.1 可使用性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界面术语采用放疗业务语境，重点流程（建档→上传→分割→审核→会诊）可在三次点击内进入。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关键按钮提供状态反馈与错误提示，避免静默失败。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支持搜索、筛选、快捷入口与历史记录，降低重复操作成本。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复杂任务（如分割推理）需展示进度、预计耗时与可追踪状态。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4.6.2 安全性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患者敏感信息必须脱敏存储与传输，接口全链路采用 HTTPS。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账号密码采用强哈希存储，鉴权令牌设置有效期并支持失效机制。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关键操作（导出、确认、删除）执行审计留痕，满足追溯要求。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附件上传与下载执行类型校验与访问权限校验，防止越权与恶意文件注入。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4.6.3 可维护性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采用前后端分离与模块化服务架构，业务边界清晰，便于迭代。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核心接口统一返回结构（code/message/data），便于问题定位与联调。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模型侧通过可配置化参数与流程编排支持快速替换算法组件。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日志、监控与测试脚本形成闭环，降低故障排查成本。</w:t>
      </w:r>
    </w:p>
    <w:p>
      <w:pPr>
        <w:pStyle w:val="Heading3"/>
        <w:spacing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4.6.4 可移植性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 前端基于 uni-app，可在移动端与 H5 环境复用核心页面。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② 后端与模型服务通过容器化部署，支持在不同 Linux/Windows 服务器环境迁移。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③ 数据库与缓存组件采用通用中间件（MySQL、Redis），具备较强生态兼容性。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④ 通过配置分离（.env/.yml）实现环境切换，降低跨环境部署改造成本。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