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 概要设计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5.4 数据流转设计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系统数据流转围绕“账号鉴权-患者建档-影像接入-AI 分割-医生审核-三维复核-联合会诊-结果归档”闭环展开。根据当前文档要求，本节中的数据流转图采用文字描述，不直接绘图。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5.4.1 账号与权限流转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账号与权限流转如图 5.5 所示。医生在登录页提交手机号与密码后，请求先到网关再转发至鉴权服务；鉴权服务读取 doctor_user 表完成身份校验，校验通过后在 Redis 中生成并缓存访问令牌，同时返回 token 与医生基础信息。后续患者管理、影像上传、会诊协作等请求均携带 Bearer Token，由认证拦截器解析用户标识并写入业务上下文，以保证关键操作可鉴权、可追踪。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</w:rPr>
        <w:t>图 5.5 账号与权限模块数据流转图（本阶段以文字描述替代图示）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5.4.2 患者与影像流转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患者与影像流转如图 5.6 所示。医生录入患者基础信息后，患者服务写入 patient 表并生成唯一 patient_no；随后通过 studies 接口登记影像序列，patient_study 表记录 study_uid、模态与状态等元数据。DICOM、NIfTI 或压缩包等大文件上传至 OSS 或文件服务器，file_upload 表仅保存文件索引路径与类型信息，从而降低数据库压力并提高后续调阅效率。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</w:rPr>
        <w:t>图 5.6 患者与影像模块数据流转图（本阶段以文字描述替代图示）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5.4.3 分割审核与会诊流转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分割审核与会诊流转如图 5.7 所示。研究序列服务将影像与参数发送至模型服务后，模型端输出 GTV、CTV、OAR 轮廓、热力图及相关工件并写入对象存储，contour_result 表记录类型、版本、状态与结果路径。前端加载结果进入审核页后，医生可精修、确认或标记待精修，系统同步回写状态并记录审计日志。发起联合会诊时，会诊主体写入 consultation_session，成员关系写入 consultation_member，消息与附件索引写入 consultation_message，形成“病例数据-审核结论-协同意见”闭环。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</w:rPr>
        <w:t>图 5.7 分割审核与会诊模块数据流转图（本阶段以文字描述替代图示）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5.6 数据结构设计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系统在 DBMS 上主要采用 MySQL。核心数据结构包括 doctor_user（医生账号与认证信息）、patient（患者基础信息）、patient_study（影像序列元数据）、contour_result（靶区结果与版本状态）、file_upload（文件索引）、consultation_session / consultation_member / consultation_message（会诊协同数据）以及 audit_log（关键操作审计）。其中结构化业务数据入库保存，影像与工件文件采用“对象存储 + 路径索引”模式，以兼顾可追溯性与可扩展性。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5.7 接口设计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5.7.1 外部接口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外部接口主要包括终端访问接口、模型推理接口、对象存储接口以及数据库和缓存中间件接口。前端通过 HTTPS 调用业务 API，模型服务通过 HTTP 或 multipart 接收影像数据并返回结果路径，OSS 负责大文件存储，MySQL 与 Redis 分别承担持久化和会话缓存。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5.7.2 内部接口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内部接口采用 RESTful 风格并统一经网关暴露，网关按路径将请求路由至鉴权服务、患者服务和研究序列服务。内部接口统一返回 ApiResponse{code, message, data}，鉴权统一使用 Authorization: Bearer &lt;token&gt;，以保证联调一致性与服务边界清晰。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5.8 错误/异常处理设计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5.8.1 错误/异常输出信息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常见故障场景、系统输出与处理策略如表 5.1 所示。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 w:cs="Times New Roman"/>
        </w:rPr>
        <w:t>表 5.1 故障处理表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</w:tcPr>
          <w:p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故障情况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系统输出</w:t>
            </w:r>
          </w:p>
        </w:tc>
        <w:tc>
          <w:tcPr>
            <w:tcW w:type="dxa" w:w="2494"/>
          </w:tcPr>
          <w:p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信息含义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处理方法</w:t>
            </w:r>
          </w:p>
        </w:tc>
      </w:tr>
      <w:tr>
        <w:tc>
          <w:tcPr>
            <w:tcW w:type="dxa" w:w="226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用户短时重复提交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提示“系统处理中，请稍候”</w:t>
            </w:r>
          </w:p>
        </w:tc>
        <w:tc>
          <w:tcPr>
            <w:tcW w:type="dxa" w:w="2494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请求频率过高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限制重复提交并提示稍后重试</w:t>
            </w:r>
          </w:p>
        </w:tc>
      </w:tr>
      <w:tr>
        <w:tc>
          <w:tcPr>
            <w:tcW w:type="dxa" w:w="226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用户输入格式错误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提示“输入格式不符合要求”</w:t>
            </w:r>
          </w:p>
        </w:tc>
        <w:tc>
          <w:tcPr>
            <w:tcW w:type="dxa" w:w="2494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参数校验失败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高亮错误字段并给出格式示例</w:t>
            </w:r>
          </w:p>
        </w:tc>
      </w:tr>
      <w:tr>
        <w:tc>
          <w:tcPr>
            <w:tcW w:type="dxa" w:w="226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网络状态不稳定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提示“网络连接不稳定”</w:t>
            </w:r>
          </w:p>
        </w:tc>
        <w:tc>
          <w:tcPr>
            <w:tcW w:type="dxa" w:w="2494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请求传输中断或超时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提示切换网络后重试并保留当前输入</w:t>
            </w:r>
          </w:p>
        </w:tc>
      </w:tr>
      <w:tr>
        <w:tc>
          <w:tcPr>
            <w:tcW w:type="dxa" w:w="226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影像上传中断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提示“上传失败，请重试”</w:t>
            </w:r>
          </w:p>
        </w:tc>
        <w:tc>
          <w:tcPr>
            <w:tcW w:type="dxa" w:w="2494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传输链路或存储写入异常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启用断点续传并记录失败原因</w:t>
            </w:r>
          </w:p>
        </w:tc>
      </w:tr>
      <w:tr>
        <w:tc>
          <w:tcPr>
            <w:tcW w:type="dxa" w:w="226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模型服务异常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提示“模型暂不可用”</w:t>
            </w:r>
          </w:p>
        </w:tc>
        <w:tc>
          <w:tcPr>
            <w:tcW w:type="dxa" w:w="2494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推理超时或模型内部错误</w:t>
            </w:r>
          </w:p>
        </w:tc>
        <w:tc>
          <w:tcPr>
            <w:tcW w:type="dxa" w:w="2438"/>
          </w:tcPr>
          <w:p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Times New Roman" w:cs="Times New Roman"/>
              </w:rPr>
              <w:t>标记待重试并允许人工审核继续</w:t>
            </w:r>
          </w:p>
        </w:tc>
      </w:tr>
    </w:tbl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 w:cs="Times New Roman"/>
        </w:rPr>
        <w:t>5.8.2 错误/异常处理对策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Times New Roman" w:cs="Times New Roman"/>
        </w:rPr>
        <w:t>对于用户输入错误、重复提交等非系统内部故障，应通过输入校验和交互限流提前拦截；对于上传中断、模型异常、网络不稳定等系统故障，应提供重试、降级与恢复机制。具体包括：算法补救（异常结果进入待重试并支持人工继续审核）、恢复与再启动（关键数据备份并支持故障点恢复）、性能降级（模型或三维模块不可用时自动切换到二维审核与历史结果查看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Times New Roma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