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系统中的的文件全部建立统一的表并存储  其他表通过引入FileID的方式来产生关联</w:t>
      </w:r>
    </w:p>
    <w:p>
      <w:pPr>
        <w:rPr>
          <w:rFonts w:hint="eastAsia"/>
          <w:lang w:val="en-US" w:eastAsia="zh-CN"/>
        </w:rPr>
      </w:pPr>
    </w:p>
    <w:p>
      <w:pPr>
        <w:rPr>
          <w:rFonts w:hint="eastAsia"/>
          <w:lang w:val="en-US" w:eastAsia="zh-CN"/>
        </w:rPr>
      </w:pPr>
      <w:r>
        <w:rPr>
          <w:rFonts w:hint="eastAsia"/>
          <w:lang w:val="en-US" w:eastAsia="zh-CN"/>
        </w:rPr>
        <w:t>File表结构形如:</w:t>
      </w:r>
    </w:p>
    <w:tbl>
      <w:tblPr>
        <w:tblStyle w:val="4"/>
        <w:tblW w:w="8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4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lang w:val="en-US" w:eastAsia="zh-CN"/>
              </w:rPr>
              <w:t>名称</w:t>
            </w:r>
          </w:p>
        </w:tc>
        <w:tc>
          <w:tcPr>
            <w:tcW w:w="1704" w:type="dxa"/>
          </w:tcPr>
          <w:p>
            <w:pPr>
              <w:rPr>
                <w:rFonts w:hint="eastAsia"/>
                <w:vertAlign w:val="baseline"/>
                <w:lang w:val="en-US" w:eastAsia="zh-CN"/>
              </w:rPr>
            </w:pPr>
            <w:r>
              <w:rPr>
                <w:rFonts w:hint="eastAsia"/>
                <w:vertAlign w:val="baseline"/>
                <w:lang w:val="en-US" w:eastAsia="zh-CN"/>
              </w:rPr>
              <w:t>类型</w:t>
            </w:r>
          </w:p>
        </w:tc>
        <w:tc>
          <w:tcPr>
            <w:tcW w:w="4971" w:type="dxa"/>
          </w:tcPr>
          <w:p>
            <w:pPr>
              <w:rPr>
                <w:rFonts w:hint="eastAsia"/>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Id</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Suffix</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Type</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Description</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Size</w:t>
            </w: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r>
              <w:rPr>
                <w:rFonts w:hint="eastAsia"/>
                <w:vertAlign w:val="baseline"/>
                <w:lang w:val="en-US" w:eastAsia="zh-CN"/>
              </w:rPr>
              <w:t>单位kb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p>
        </w:tc>
        <w:tc>
          <w:tcPr>
            <w:tcW w:w="1704" w:type="dxa"/>
          </w:tcPr>
          <w:p>
            <w:pPr>
              <w:rPr>
                <w:rFonts w:hint="eastAsia"/>
                <w:vertAlign w:val="baseline"/>
                <w:lang w:val="en-US" w:eastAsia="zh-CN"/>
              </w:rPr>
            </w:pPr>
          </w:p>
        </w:tc>
        <w:tc>
          <w:tcPr>
            <w:tcW w:w="4971"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在对 航信和百旺的税控盘进行数据采集的功能实现后  原纳税报表的公式需要按照商品分类\税率进行分组加和后统一乘以税率 计算  成本或者收入数字。这种计算方式替代掉原先的通过每张发票票面金额分别核算税额计算数字，精度更高，更符合税务局的计算方式。</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每个客户企业添加进系统后，需要进行全局准备和当月申报准备的动作后才可以进行自动申报的操作，这2个条件是充分必要条件：</w:t>
      </w:r>
    </w:p>
    <w:p>
      <w:pPr>
        <w:rPr>
          <w:rFonts w:hint="eastAsia"/>
          <w:lang w:val="en-US" w:eastAsia="zh-CN"/>
        </w:rPr>
      </w:pPr>
      <w:r>
        <w:rPr>
          <w:rFonts w:hint="eastAsia"/>
          <w:lang w:val="en-US" w:eastAsia="zh-CN"/>
        </w:rPr>
        <w:t>全局准备：至少读取全年的实报数据，在这个过程中需要采集到企业的</w:t>
      </w:r>
    </w:p>
    <w:p>
      <w:pPr>
        <w:rPr>
          <w:rFonts w:hint="eastAsia"/>
          <w:lang w:val="en-US" w:eastAsia="zh-CN"/>
        </w:rPr>
      </w:pPr>
      <w:r>
        <w:rPr>
          <w:rFonts w:hint="eastAsia"/>
          <w:lang w:val="en-US" w:eastAsia="zh-CN"/>
        </w:rPr>
        <w:t>当月准备：读取当月税费种参数</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30B68"/>
    <w:rsid w:val="40516FBD"/>
    <w:rsid w:val="428E221A"/>
    <w:rsid w:val="4CD07BC3"/>
    <w:rsid w:val="4EEB20A1"/>
    <w:rsid w:val="58A828A0"/>
    <w:rsid w:val="5F1D4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fresh</dc:creator>
  <cp:lastModifiedBy>吴哲</cp:lastModifiedBy>
  <dcterms:modified xsi:type="dcterms:W3CDTF">2018-11-09T07:48:04Z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