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b/>
          <w:bCs/>
        </w:rPr>
      </w:pPr>
      <w:r>
        <w:rPr/>
      </w:r>
    </w:p>
    <w:p>
      <w:pPr>
        <w:pStyle w:val="Compact"/>
        <w:numPr>
          <w:ilvl w:val="0"/>
          <w:numId w:val="13"/>
        </w:numPr>
        <w:rPr/>
      </w:pPr>
      <w:r>
        <w:rPr/>
        <w:t>O que é Teosofia (definição e etimologia)</w:t>
      </w:r>
    </w:p>
    <w:p>
      <w:pPr>
        <w:pStyle w:val="Compact"/>
        <w:numPr>
          <w:ilvl w:val="0"/>
          <w:numId w:val="1"/>
        </w:numPr>
        <w:rPr/>
      </w:pPr>
      <w:r>
        <w:rPr/>
        <w:t>A origem histórica e contexto do século XIX</w:t>
      </w:r>
    </w:p>
    <w:p>
      <w:pPr>
        <w:pStyle w:val="Compact"/>
        <w:numPr>
          <w:ilvl w:val="0"/>
          <w:numId w:val="1"/>
        </w:numPr>
        <w:rPr/>
      </w:pPr>
      <w:r>
        <w:rPr/>
        <w:t>Os princípios fundamentais</w:t>
      </w:r>
    </w:p>
    <w:p>
      <w:pPr>
        <w:pStyle w:val="Compact"/>
        <w:numPr>
          <w:ilvl w:val="0"/>
          <w:numId w:val="1"/>
        </w:numPr>
        <w:rPr/>
      </w:pPr>
      <w:r>
        <w:rPr/>
        <w:t>As controvérsias e críticas (Caso Coulomb, relatório Hodgson)</w:t>
      </w:r>
    </w:p>
    <w:p>
      <w:pPr>
        <w:pStyle w:val="Compact"/>
        <w:numPr>
          <w:ilvl w:val="0"/>
          <w:numId w:val="1"/>
        </w:numPr>
        <w:rPr/>
      </w:pPr>
      <w:r>
        <w:rPr/>
        <w:t>A necessidade/espírito que a originou</w:t>
      </w:r>
    </w:p>
    <w:p>
      <w:pPr>
        <w:pStyle w:val="Compact"/>
        <w:numPr>
          <w:ilvl w:val="0"/>
          <w:numId w:val="1"/>
        </w:numPr>
        <w:rPr/>
      </w:pPr>
      <w:r>
        <w:rPr/>
        <w:t>Seu legado e influência</w:t>
      </w:r>
    </w:p>
    <w:p>
      <w:pPr>
        <w:pStyle w:val="Compact"/>
        <w:numPr>
          <w:ilvl w:val="0"/>
          <w:numId w:val="1"/>
        </w:numPr>
        <w:rPr/>
      </w:pPr>
      <w:r>
        <w:rPr/>
        <w:t>Uma análise crítica do movimento</w:t>
      </w:r>
    </w:p>
    <w:p>
      <w:pPr>
        <w:pStyle w:val="FirstParagraph"/>
        <w:rPr/>
      </w:pPr>
      <w:r>
        <w:rPr/>
        <w:t>U</w:t>
      </w:r>
      <w:r>
        <w:rPr/>
        <w:t>ma análise completa da Teosofia, desde suas origens até suas implicações, com base em fontes documentadas.</w:t>
      </w:r>
    </w:p>
    <w:p>
      <w:pPr>
        <w:pStyle w:val="Normal"/>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o-que-é-teosofia-definição-e-etimologia"/>
      <w:r>
        <w:rPr/>
        <w:t>1. O Que É Teosofia: Definição e Etimologia</w:t>
      </w:r>
    </w:p>
    <w:p>
      <w:pPr>
        <w:pStyle w:val="FirstParagraph"/>
        <w:rPr/>
      </w:pPr>
      <w:r>
        <w:rPr>
          <w:b/>
          <w:bCs/>
        </w:rPr>
        <w:t>Teosofia</w:t>
      </w:r>
      <w:r>
        <w:rPr/>
        <w:t xml:space="preserve"> (do grego </w:t>
      </w:r>
      <w:r>
        <w:rPr>
          <w:i/>
          <w:iCs/>
        </w:rPr>
        <w:t>theos</w:t>
      </w:r>
      <w:r>
        <w:rPr/>
        <w:t xml:space="preserve"> = deus/divino + </w:t>
      </w:r>
      <w:r>
        <w:rPr>
          <w:i/>
          <w:iCs/>
        </w:rPr>
        <w:t>sophia</w:t>
      </w:r>
      <w:r>
        <w:rPr/>
        <w:t xml:space="preserve"> = sabedoria) significa literalmente “sabedoria divina” . Para Helena Blavatsky, sua fundadora, não se tratava de uma nova religião, mas de uma </w:t>
      </w:r>
      <w:r>
        <w:rPr>
          <w:b/>
          <w:bCs/>
        </w:rPr>
        <w:t>“Sabedoria-Religião” perene</w:t>
      </w:r>
      <w:r>
        <w:rPr/>
        <w:t xml:space="preserve"> — uma tradição esotérica universal que existiria desde a antiguidade, preservada por iniciados nas tradições egípcia, hindu, budista, neoplatônica e gnóstica .</w:t>
      </w:r>
    </w:p>
    <w:p>
      <w:pPr>
        <w:pStyle w:val="BodyText"/>
        <w:rPr/>
      </w:pPr>
      <w:r>
        <w:rPr/>
        <w:t xml:space="preserve">Blavatsky a definiu como: &gt; </w:t>
      </w:r>
      <w:r>
        <w:rPr>
          <w:i/>
          <w:iCs/>
        </w:rPr>
        <w:t>“Conhecimento ou Ciência Divina — um corpo de princípios e método de investigação espiritual”</w:t>
      </w:r>
      <w:r>
        <w:rPr/>
        <w:t xml:space="preserve"> que busca </w:t>
      </w:r>
      <w:r>
        <w:rPr>
          <w:b/>
          <w:bCs/>
        </w:rPr>
        <w:t>sintetizar ciência, religião e filosofia</w:t>
      </w:r>
    </w:p>
    <w:p>
      <w:pPr>
        <w:pStyle w:val="BodyText"/>
        <w:rPr/>
      </w:pPr>
      <w:r>
        <w:rPr/>
        <w:t xml:space="preserve">A Sociedade Teosófica foi fundada em </w:t>
      </w:r>
      <w:r>
        <w:rPr>
          <w:b/>
          <w:bCs/>
        </w:rPr>
        <w:t>17 de novembro de 1875</w:t>
      </w:r>
      <w:r>
        <w:rPr/>
        <w:t xml:space="preserve"> em Nova York por Helena Petrovna Blavatsky (1831-1891), Henry Steel Olcott e William Q. Judge .</w:t>
      </w:r>
    </w:p>
    <w:p>
      <w:pPr>
        <w:pStyle w:val="Normal"/>
        <w:rPr/>
      </w:pPr>
      <w:bookmarkStart w:id="1" w:name="o-que-é-teosofia-definição-e-etimologia"/>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o-contexto-histórico-por-que-surgiu"/>
      <w:r>
        <w:rPr/>
        <w:t>2. O Contexto Histórico: Por Que Surgiu?</w:t>
      </w:r>
    </w:p>
    <w:p>
      <w:pPr>
        <w:pStyle w:val="Heading3"/>
        <w:rPr/>
      </w:pPr>
      <w:bookmarkStart w:id="3" w:name="a-necessidade-do-século-xix"/>
      <w:r>
        <w:rPr/>
        <w:t>A Necessidade do Século XIX</w:t>
      </w:r>
    </w:p>
    <w:p>
      <w:pPr>
        <w:pStyle w:val="FirstParagraph"/>
        <w:rPr/>
      </w:pPr>
      <w:r>
        <w:rPr/>
        <w:t xml:space="preserve">A Teosofia nasceu em um momento de </w:t>
      </w:r>
      <w:r>
        <w:rPr>
          <w:b/>
          <w:bCs/>
        </w:rPr>
        <w:t>crise epistemológica</w:t>
      </w:r>
      <w:r>
        <w:rPr/>
        <w:t xml:space="preserve"> profunda:</w:t>
      </w:r>
    </w:p>
    <w:p>
      <w:pPr>
        <w:pStyle w:val="Compact"/>
        <w:numPr>
          <w:ilvl w:val="0"/>
          <w:numId w:val="2"/>
        </w:numPr>
        <w:rPr/>
      </w:pPr>
      <w:r>
        <w:rPr>
          <w:b/>
          <w:bCs/>
        </w:rPr>
        <w:t>Avanço científico materialista</w:t>
      </w:r>
      <w:r>
        <w:rPr/>
        <w:t xml:space="preserve">: A publicação de </w:t>
      </w:r>
      <w:r>
        <w:rPr>
          <w:i/>
          <w:iCs/>
        </w:rPr>
        <w:t>A Origem das Espécies</w:t>
      </w:r>
      <w:r>
        <w:rPr/>
        <w:t xml:space="preserve"> (1859) de Darwin e o positivismo científico estavam desacreditando as religiões tradicionais</w:t>
      </w:r>
    </w:p>
    <w:p>
      <w:pPr>
        <w:pStyle w:val="Compact"/>
        <w:numPr>
          <w:ilvl w:val="0"/>
          <w:numId w:val="2"/>
        </w:numPr>
        <w:rPr/>
      </w:pPr>
      <w:r>
        <w:rPr>
          <w:b/>
          <w:bCs/>
        </w:rPr>
        <w:t>Fracasso do Cristianismo institucional</w:t>
      </w:r>
      <w:r>
        <w:rPr/>
        <w:t>: Não conseguia fornecer explicações satisfatórias para questões fundamentais da vida e do mundo natural</w:t>
      </w:r>
    </w:p>
    <w:p>
      <w:pPr>
        <w:pStyle w:val="Compact"/>
        <w:numPr>
          <w:ilvl w:val="0"/>
          <w:numId w:val="2"/>
        </w:numPr>
        <w:rPr/>
      </w:pPr>
      <w:r>
        <w:rPr>
          <w:b/>
          <w:bCs/>
        </w:rPr>
        <w:t>Busca por espiritualidade não-dogmática</w:t>
      </w:r>
      <w:r>
        <w:rPr/>
        <w:t>: Movimentos espiritualistas cresciam (como as comunicações das irmãs Fox em 1848 e o Espiritismo de Allan Kardec a partir de 1856)</w:t>
      </w:r>
    </w:p>
    <w:p>
      <w:pPr>
        <w:pStyle w:val="FirstParagraph"/>
        <w:rPr/>
      </w:pPr>
      <w:r>
        <w:rPr/>
        <w:t xml:space="preserve">Blavatsky posicionou-se como mediadora entre </w:t>
      </w:r>
      <w:r>
        <w:rPr>
          <w:b/>
          <w:bCs/>
        </w:rPr>
        <w:t>Ocidente e Oriente</w:t>
      </w:r>
      <w:r>
        <w:rPr/>
        <w:t>, propondo uma “Filosofia Esotérica” que resgataria sabedoria ancestral esquecida sob os véus do dogmatismo religioso e do materialismo científico .</w:t>
      </w:r>
    </w:p>
    <w:p>
      <w:pPr>
        <w:pStyle w:val="Normal"/>
        <w:rPr/>
      </w:pPr>
      <w:bookmarkStart w:id="4" w:name="o-contexto-histórico-por-que-surgiu"/>
      <w:bookmarkStart w:id="5" w:name="a-necessidade-do-século-xix"/>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
      <w:bookmarkEnd w:id="5"/>
    </w:p>
    <w:p>
      <w:pPr>
        <w:pStyle w:val="Heading2"/>
        <w:rPr/>
      </w:pPr>
      <w:bookmarkStart w:id="6" w:name="os-três-princípios-fundamentais"/>
      <w:r>
        <w:rPr/>
        <w:t>3. Os Três Princípios Fundamentais</w:t>
      </w:r>
    </w:p>
    <w:p>
      <w:pPr>
        <w:pStyle w:val="FirstParagraph"/>
        <w:rPr/>
      </w:pPr>
      <w:r>
        <w:rPr/>
        <w:t>Desde sua fundação, a Sociedade Teosófica estabeleceu três objetivos que permanecem até hoje :</w:t>
      </w:r>
    </w:p>
    <w:p>
      <w:pPr>
        <w:pStyle w:val="Compact"/>
        <w:numPr>
          <w:ilvl w:val="0"/>
          <w:numId w:val="14"/>
        </w:numPr>
        <w:rPr/>
      </w:pPr>
      <w:r>
        <w:rPr>
          <w:b/>
          <w:bCs/>
        </w:rPr>
        <w:t>Formar um núcleo de Fraternidade Universal</w:t>
      </w:r>
      <w:r>
        <w:rPr/>
        <w:t>, sem distinção de raça, credo, sexo, casta ou cor</w:t>
      </w:r>
    </w:p>
    <w:p>
      <w:pPr>
        <w:pStyle w:val="Compact"/>
        <w:numPr>
          <w:ilvl w:val="0"/>
          <w:numId w:val="1"/>
        </w:numPr>
        <w:rPr/>
      </w:pPr>
      <w:r>
        <w:rPr>
          <w:b/>
          <w:bCs/>
        </w:rPr>
        <w:t>Promover o estudo comparado</w:t>
      </w:r>
      <w:r>
        <w:rPr/>
        <w:t xml:space="preserve"> das religiões, filosofias e ciências</w:t>
      </w:r>
    </w:p>
    <w:p>
      <w:pPr>
        <w:pStyle w:val="Compact"/>
        <w:numPr>
          <w:ilvl w:val="0"/>
          <w:numId w:val="1"/>
        </w:numPr>
        <w:rPr/>
      </w:pPr>
      <w:r>
        <w:rPr>
          <w:b/>
          <w:bCs/>
        </w:rPr>
        <w:t>Investigar os mistérios da Natureza</w:t>
      </w:r>
      <w:r>
        <w:rPr/>
        <w:t xml:space="preserve"> e os poderes latentes no ser humano</w:t>
      </w:r>
    </w:p>
    <w:p>
      <w:pPr>
        <w:pStyle w:val="Heading3"/>
        <w:rPr/>
      </w:pPr>
      <w:bookmarkStart w:id="7" w:name="doutrinas-centrais"/>
      <w:r>
        <w:rPr/>
        <w:t>Doutrinas Centrais</w:t>
      </w:r>
    </w:p>
    <w:p>
      <w:pPr>
        <w:pStyle w:val="FirstParagraph"/>
        <w:rPr/>
      </w:pPr>
      <w:r>
        <w:rPr/>
        <w:t>A Teosofia moderna sistematizou conceitos que se tornariam fundamentais para o esoterismo ocidental :</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114"/>
        <w:gridCol w:w="4526"/>
      </w:tblGrid>
      <w:tr>
        <w:trPr>
          <w:tblHeader w:val="true"/>
        </w:trPr>
        <w:tc>
          <w:tcPr>
            <w:tcW w:w="4114"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Conceito</w:t>
            </w:r>
          </w:p>
        </w:tc>
        <w:tc>
          <w:tcPr>
            <w:tcW w:w="4526"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Descrição</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Unidade Essencial da Vida</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Uma Realidade última impessoal que origina todas as hierarquias e leis</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Setenário do Ser Humano</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Além do corpo físico, princípios sutis (vida, psique, mente, intuição/espiritualidade, essência divina)</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Karma e Reencarnação</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Lei ética de causa-efeito que regula a evolução da consciência através de múltiplos renascimentos</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Ciclos Cósmicos</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 história (cósmica e humana) desenvolve-se por ciclos de evolução da consciência</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Mahatmas/Mestres</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Entidades espirituais altamente evoluídas que guiariam a humanidade (Morya e Koot Hoomi seriam os principais)</w:t>
            </w:r>
          </w:p>
        </w:tc>
      </w:tr>
    </w:tbl>
    <w:p>
      <w:pPr>
        <w:pStyle w:val="Normal"/>
        <w:rPr/>
      </w:pPr>
      <w:bookmarkStart w:id="8" w:name="os-três-princípios-fundamentais"/>
      <w:bookmarkStart w:id="9" w:name="doutrinas-centrais"/>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bookmarkEnd w:id="9"/>
    </w:p>
    <w:p>
      <w:pPr>
        <w:pStyle w:val="Heading2"/>
        <w:rPr/>
      </w:pPr>
      <w:bookmarkStart w:id="10" w:name="as-obras-fundamentais"/>
      <w:r>
        <w:rPr/>
        <w:t>4. As Obras Fundamentais</w:t>
      </w:r>
    </w:p>
    <w:p>
      <w:pPr>
        <w:pStyle w:val="FirstParagraph"/>
        <w:rPr/>
      </w:pPr>
      <w:r>
        <w:rPr/>
        <w:t>Blavatsky produziu obras vastas e complexas :</w:t>
      </w:r>
    </w:p>
    <w:p>
      <w:pPr>
        <w:pStyle w:val="Compact"/>
        <w:numPr>
          <w:ilvl w:val="0"/>
          <w:numId w:val="2"/>
        </w:numPr>
        <w:rPr/>
      </w:pPr>
      <w:r>
        <w:rPr>
          <w:b/>
          <w:bCs/>
          <w:i/>
          <w:iCs/>
        </w:rPr>
        <w:t>Ísis sem Véu</w:t>
      </w:r>
      <w:r>
        <w:rPr/>
        <w:t xml:space="preserve"> (1877) — Síntese de ciência oculta, mitologia comparada e religião</w:t>
      </w:r>
    </w:p>
    <w:p>
      <w:pPr>
        <w:pStyle w:val="Compact"/>
        <w:numPr>
          <w:ilvl w:val="0"/>
          <w:numId w:val="2"/>
        </w:numPr>
        <w:rPr/>
      </w:pPr>
      <w:r>
        <w:rPr>
          <w:b/>
          <w:bCs/>
          <w:i/>
          <w:iCs/>
        </w:rPr>
        <w:t>A Doutrina Secreta</w:t>
      </w:r>
      <w:r>
        <w:rPr/>
        <w:t xml:space="preserve"> (1888) — Considerada sua obra mais importante, baseada no </w:t>
      </w:r>
      <w:r>
        <w:rPr>
          <w:i/>
          <w:iCs/>
        </w:rPr>
        <w:t>Livro de Dzyan</w:t>
      </w:r>
      <w:r>
        <w:rPr/>
        <w:t xml:space="preserve"> (texto tibetano supostamente antigo)</w:t>
      </w:r>
    </w:p>
    <w:p>
      <w:pPr>
        <w:pStyle w:val="Compact"/>
        <w:numPr>
          <w:ilvl w:val="0"/>
          <w:numId w:val="2"/>
        </w:numPr>
        <w:rPr/>
      </w:pPr>
      <w:r>
        <w:rPr>
          <w:b/>
          <w:bCs/>
          <w:i/>
          <w:iCs/>
        </w:rPr>
        <w:t>A Chave para a Teosofia</w:t>
      </w:r>
      <w:r>
        <w:rPr/>
        <w:t xml:space="preserve"> (1889) — Exposição didática em formato de perguntas e respostas</w:t>
      </w:r>
    </w:p>
    <w:p>
      <w:pPr>
        <w:pStyle w:val="Normal"/>
        <w:rPr/>
      </w:pPr>
      <w:bookmarkStart w:id="11" w:name="as-obras-fundamentais"/>
      <w:r>
        <w:rPr/>
        <mc:AlternateContent>
          <mc:Choice Requires="wps">
            <w:drawing>
              <wp:inline distT="0" distB="0" distL="0" distR="0">
                <wp:extent cx="54864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X129fb52bb6c14d1f39d0bedbc2aba017458da61"/>
      <w:r>
        <w:rPr/>
        <w:t>5. As Controvérsias: O Caso Coulomb e o Relatório Hodgson</w:t>
      </w:r>
    </w:p>
    <w:p>
      <w:pPr>
        <w:pStyle w:val="Heading3"/>
        <w:rPr/>
      </w:pPr>
      <w:bookmarkStart w:id="13" w:name="o-escândalo-de-1884-1885"/>
      <w:r>
        <w:rPr/>
        <w:t>O Escândalo de 1884-1885</w:t>
      </w:r>
    </w:p>
    <w:p>
      <w:pPr>
        <w:pStyle w:val="FirstParagraph"/>
        <w:rPr/>
      </w:pPr>
      <w:r>
        <w:rPr/>
        <w:t>A Teosofia foi abalada por uma das maiores controvérsias do esoterismo moderno:</w:t>
      </w:r>
    </w:p>
    <w:p>
      <w:pPr>
        <w:pStyle w:val="BodyText"/>
        <w:rPr/>
      </w:pPr>
      <w:r>
        <w:rPr>
          <w:b/>
          <w:bCs/>
        </w:rPr>
        <w:t>O Caso Coulomb</w:t>
      </w:r>
      <w:r>
        <w:rPr/>
        <w:t>: Alexis e Emma Coulomb, empregados da sede indiana em Adyar, foram despedidos em maio de 1884 por má conduta. Em vingança, venderam para missionários cristãos hostis uma coleção de cartas que supostamente provavam que Blavatsky forjava fenômenos e cartas dos “Mahatmas” .</w:t>
      </w:r>
    </w:p>
    <w:p>
      <w:pPr>
        <w:pStyle w:val="BodyText"/>
        <w:rPr/>
      </w:pPr>
      <w:r>
        <w:rPr>
          <w:b/>
          <w:bCs/>
        </w:rPr>
        <w:t>O Relatório Hodgson (1885)</w:t>
      </w:r>
      <w:r>
        <w:rPr/>
        <w:t xml:space="preserve">: A </w:t>
      </w:r>
      <w:r>
        <w:rPr>
          <w:i/>
          <w:iCs/>
        </w:rPr>
        <w:t>Society for Psychical Research</w:t>
      </w:r>
      <w:r>
        <w:rPr/>
        <w:t xml:space="preserve"> (SPR) enviou Richard Hodgson à Índia para investigar. Seu relatório concluiu que: - Blavatsky era uma </w:t>
      </w:r>
      <w:r>
        <w:rPr>
          <w:b/>
          <w:bCs/>
        </w:rPr>
        <w:t>“impostora”</w:t>
      </w:r>
      <w:r>
        <w:rPr/>
        <w:t xml:space="preserve"> e praticava </w:t>
      </w:r>
      <w:r>
        <w:rPr>
          <w:b/>
          <w:bCs/>
        </w:rPr>
        <w:t>fraude agravado</w:t>
      </w:r>
      <w:r>
        <w:rPr/>
        <w:t xml:space="preserve"> - As cartas dos Mahatmas eram forjadas - Ela seria possivelmente uma </w:t>
      </w:r>
      <w:r>
        <w:rPr>
          <w:b/>
          <w:bCs/>
        </w:rPr>
        <w:t>espiã russa</w:t>
      </w:r>
      <w:bookmarkEnd w:id="13"/>
    </w:p>
    <w:p>
      <w:pPr>
        <w:pStyle w:val="Heading3"/>
        <w:rPr/>
      </w:pPr>
      <w:bookmarkStart w:id="14" w:name="a-defesa-e-a-retratação"/>
      <w:r>
        <w:rPr/>
        <w:t>A Defesa e a Retratação</w:t>
      </w:r>
    </w:p>
    <w:p>
      <w:pPr>
        <w:pStyle w:val="FirstParagraph"/>
        <w:rPr/>
      </w:pPr>
      <w:r>
        <w:rPr/>
        <w:t>O relatório de Hodgson foi posteriormente contestado por estudiosos independentes:</w:t>
      </w:r>
    </w:p>
    <w:p>
      <w:pPr>
        <w:pStyle w:val="Compact"/>
        <w:numPr>
          <w:ilvl w:val="0"/>
          <w:numId w:val="2"/>
        </w:numPr>
        <w:rPr/>
      </w:pPr>
      <w:r>
        <w:rPr>
          <w:b/>
          <w:bCs/>
        </w:rPr>
        <w:t>Vernon Harrison, Ph.D.</w:t>
      </w:r>
      <w:r>
        <w:rPr/>
        <w:t xml:space="preserve"> (ex-presidente da Royal Photographic Society e especialista em falsificações) analisou as evidências em 1986 e concluiu que os métodos de Hodgson eram “extremadamente dudosos” e que </w:t>
      </w:r>
      <w:r>
        <w:rPr>
          <w:b/>
          <w:bCs/>
        </w:rPr>
        <w:t>as cartas poderiam ter sido falsificadas pelos próprios Coulomb</w:t>
      </w:r>
      <w:r>
        <w:rPr/>
        <w:t>, que tinham motivo de vingança e acesso aos escritos de Blavatsky</w:t>
      </w:r>
    </w:p>
    <w:p>
      <w:pPr>
        <w:pStyle w:val="Compact"/>
        <w:numPr>
          <w:ilvl w:val="0"/>
          <w:numId w:val="2"/>
        </w:numPr>
        <w:rPr/>
      </w:pPr>
      <w:r>
        <w:rPr/>
        <w:t>A própria SPR emitiu uma espécie de retratação indireta através de novas análises</w:t>
      </w:r>
    </w:p>
    <w:p>
      <w:pPr>
        <w:pStyle w:val="FirstParagraph"/>
        <w:rPr/>
      </w:pPr>
      <w:r>
        <w:rPr/>
        <w:t>Blavatsky nunca conseguiu reabilitação plena em vida — foi silenciada pela própria Sociedade Teosófica para evitar maiores transtornos, o que decretou o fim prático de sua amizade com Olcott .</w:t>
      </w:r>
    </w:p>
    <w:p>
      <w:pPr>
        <w:pStyle w:val="Normal"/>
        <w:rPr/>
      </w:pPr>
      <w:bookmarkStart w:id="15" w:name="X129fb52bb6c14d1f39d0bedbc2aba017458da61"/>
      <w:bookmarkStart w:id="16" w:name="a-defesa-e-a-retratação"/>
      <w:r>
        <w:rPr/>
        <mc:AlternateContent>
          <mc:Choice Requires="wps">
            <w:drawing>
              <wp:inline distT="0" distB="0" distL="0" distR="0">
                <wp:extent cx="54864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pPr>
      <w:bookmarkStart w:id="17" w:name="o-legado-além-da-teosofia"/>
      <w:r>
        <w:rPr/>
        <w:t>6. O Legado: Além da Teosofia</w:t>
      </w:r>
    </w:p>
    <w:p>
      <w:pPr>
        <w:pStyle w:val="Heading3"/>
        <w:rPr/>
      </w:pPr>
      <w:bookmarkStart w:id="18" w:name="influência-no-movimento-da-nova-era"/>
      <w:r>
        <w:rPr/>
        <w:t>Influência no Movimento da Nova Era</w:t>
      </w:r>
    </w:p>
    <w:p>
      <w:pPr>
        <w:pStyle w:val="FirstParagraph"/>
        <w:rPr/>
      </w:pPr>
      <w:r>
        <w:rPr/>
        <w:t xml:space="preserve">A Teosofia é considerada </w:t>
      </w:r>
      <w:r>
        <w:rPr>
          <w:b/>
          <w:bCs/>
        </w:rPr>
        <w:t>uma das bases fundamentais do movimento Nova Era</w:t>
      </w:r>
      <w:r>
        <w:rPr/>
        <w:t xml:space="preserve"> . Noções sistematizadas por Blavatsky influenciaram diretamente:</w:t>
      </w:r>
    </w:p>
    <w:p>
      <w:pPr>
        <w:pStyle w:val="Compact"/>
        <w:numPr>
          <w:ilvl w:val="0"/>
          <w:numId w:val="2"/>
        </w:numPr>
        <w:rPr/>
      </w:pPr>
      <w:r>
        <w:rPr/>
        <w:t xml:space="preserve">A </w:t>
      </w:r>
      <w:r>
        <w:rPr>
          <w:b/>
          <w:bCs/>
        </w:rPr>
        <w:t>Antroposofia</w:t>
      </w:r>
      <w:r>
        <w:rPr/>
        <w:t xml:space="preserve"> de Rudolf Steiner (que se separou da Sociedade Teosófica em 1913 após divergências com Annie Besant sobre a proclamação de Jiddu Krishnamurti como messias)</w:t>
      </w:r>
    </w:p>
    <w:p>
      <w:pPr>
        <w:pStyle w:val="Compact"/>
        <w:numPr>
          <w:ilvl w:val="0"/>
          <w:numId w:val="2"/>
        </w:numPr>
        <w:rPr/>
      </w:pPr>
      <w:r>
        <w:rPr/>
        <w:t xml:space="preserve">A </w:t>
      </w:r>
      <w:r>
        <w:rPr>
          <w:b/>
          <w:bCs/>
        </w:rPr>
        <w:t>Escola Arcana</w:t>
      </w:r>
      <w:r>
        <w:rPr/>
        <w:t xml:space="preserve"> de Alice Bailey</w:t>
      </w:r>
    </w:p>
    <w:p>
      <w:pPr>
        <w:pStyle w:val="Compact"/>
        <w:numPr>
          <w:ilvl w:val="0"/>
          <w:numId w:val="2"/>
        </w:numPr>
        <w:rPr/>
      </w:pPr>
      <w:r>
        <w:rPr/>
        <w:t xml:space="preserve">A </w:t>
      </w:r>
      <w:r>
        <w:rPr>
          <w:b/>
          <w:bCs/>
        </w:rPr>
        <w:t>metafísica cristã</w:t>
      </w:r>
      <w:r>
        <w:rPr/>
        <w:t xml:space="preserve"> e o movimento de </w:t>
      </w:r>
      <w:r>
        <w:rPr>
          <w:i/>
          <w:iCs/>
        </w:rPr>
        <w:t>Mestres Ascendidos</w:t>
      </w:r>
    </w:p>
    <w:p>
      <w:pPr>
        <w:pStyle w:val="Compact"/>
        <w:numPr>
          <w:ilvl w:val="0"/>
          <w:numId w:val="2"/>
        </w:numPr>
        <w:rPr/>
      </w:pPr>
      <w:r>
        <w:rPr/>
        <w:t xml:space="preserve">A </w:t>
      </w:r>
      <w:r>
        <w:rPr>
          <w:b/>
          <w:bCs/>
        </w:rPr>
        <w:t>psicologia transpessoal</w:t>
      </w:r>
      <w:r>
        <w:rPr/>
        <w:t xml:space="preserve"> e terapias de vidas passadas</w:t>
      </w:r>
      <w:bookmarkEnd w:id="18"/>
    </w:p>
    <w:p>
      <w:pPr>
        <w:pStyle w:val="Heading3"/>
        <w:rPr/>
      </w:pPr>
      <w:bookmarkStart w:id="19" w:name="contribuições-duradouras"/>
      <w:r>
        <w:rPr/>
        <w:t>Contribuições Duradouras</w:t>
      </w:r>
    </w:p>
    <w:p>
      <w:pPr>
        <w:pStyle w:val="Compact"/>
        <w:numPr>
          <w:ilvl w:val="0"/>
          <w:numId w:val="2"/>
        </w:numPr>
        <w:rPr/>
      </w:pPr>
      <w:r>
        <w:rPr>
          <w:b/>
          <w:bCs/>
        </w:rPr>
        <w:t>Diálogo inter-religioso</w:t>
      </w:r>
      <w:r>
        <w:rPr/>
        <w:t>: Foi pioneira em estudar comparativamente religiões orientais (hinduísmo, budismo) no Ocidente</w:t>
      </w:r>
    </w:p>
    <w:p>
      <w:pPr>
        <w:pStyle w:val="Compact"/>
        <w:numPr>
          <w:ilvl w:val="0"/>
          <w:numId w:val="2"/>
        </w:numPr>
        <w:rPr/>
      </w:pPr>
      <w:r>
        <w:rPr>
          <w:b/>
          <w:bCs/>
        </w:rPr>
        <w:t>Valorização cultural</w:t>
      </w:r>
      <w:r>
        <w:rPr/>
        <w:t>: Incentivou o orgulho cultural na Índia e outras nações asiáticas durante o colonialismo</w:t>
      </w:r>
    </w:p>
    <w:p>
      <w:pPr>
        <w:pStyle w:val="Compact"/>
        <w:numPr>
          <w:ilvl w:val="0"/>
          <w:numId w:val="2"/>
        </w:numPr>
        <w:rPr/>
      </w:pPr>
      <w:r>
        <w:rPr>
          <w:b/>
          <w:bCs/>
        </w:rPr>
        <w:t>Ecumenismo espiritual</w:t>
      </w:r>
      <w:r>
        <w:rPr/>
        <w:t>: Propôs que todas as religiões continham uma verdade esotérica comum</w:t>
      </w:r>
    </w:p>
    <w:p>
      <w:pPr>
        <w:pStyle w:val="Normal"/>
        <w:rPr/>
      </w:pPr>
      <w:bookmarkStart w:id="20" w:name="o-legado-além-da-teosofia"/>
      <w:bookmarkStart w:id="21" w:name="contribuições-duradouras"/>
      <w:r>
        <w:rPr/>
        <mc:AlternateContent>
          <mc:Choice Requires="wps">
            <w:drawing>
              <wp:inline distT="0" distB="0" distL="0" distR="0">
                <wp:extent cx="54864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rPr/>
      </w:pPr>
      <w:bookmarkStart w:id="22" w:name="X6d533c780d12c0b314ae4a0f95edebb50ebd35b"/>
      <w:r>
        <w:rPr/>
        <w:t>7. Análise Crítica: A “Necessidade Verdadeira” em Espírito e Verdade</w:t>
      </w:r>
    </w:p>
    <w:p>
      <w:pPr>
        <w:pStyle w:val="Heading3"/>
        <w:rPr/>
      </w:pPr>
      <w:bookmarkStart w:id="23" w:name="o-que-a-teosofia-realmente-propunha"/>
      <w:r>
        <w:rPr/>
        <w:t>O Que a Teosofia Realmente Propunha</w:t>
      </w:r>
    </w:p>
    <w:p>
      <w:pPr>
        <w:pStyle w:val="FirstParagraph"/>
        <w:rPr/>
      </w:pPr>
      <w:r>
        <w:rPr/>
        <w:t xml:space="preserve">Blavatsky afirmava que a Teosofia respondia a uma necessidade humana profunda: </w:t>
      </w:r>
      <w:r>
        <w:rPr>
          <w:b/>
          <w:bCs/>
        </w:rPr>
        <w:t>reconciliar a razão com a espiritualidade</w:t>
      </w:r>
      <w:r>
        <w:rPr/>
        <w:t xml:space="preserve"> em uma era de materialismo crescente. Ela não pretendia criar uma religião nova, mas oferecer:</w:t>
      </w:r>
    </w:p>
    <w:p>
      <w:pPr>
        <w:pStyle w:val="BlockText"/>
        <w:rPr/>
      </w:pPr>
      <w:r>
        <w:rPr>
          <w:i/>
          <w:iCs/>
        </w:rPr>
        <w:t>“</w:t>
      </w:r>
      <w:r>
        <w:rPr>
          <w:i/>
          <w:iCs/>
        </w:rPr>
        <w:t>Caminhos de diálogo com a Ciência e tentar purgar a Religião institucionalizada de seus erros seculares, combatendo o dogmatismo e a superstição de todos os credos”</w:t>
      </w:r>
      <w:bookmarkEnd w:id="23"/>
    </w:p>
    <w:p>
      <w:pPr>
        <w:pStyle w:val="Heading3"/>
        <w:rPr/>
      </w:pPr>
      <w:bookmarkStart w:id="24" w:name="as-tensões-internas"/>
      <w:r>
        <w:rPr/>
        <w:t>As Tensões Internas</w:t>
      </w:r>
    </w:p>
    <w:p>
      <w:pPr>
        <w:pStyle w:val="Compact"/>
        <w:numPr>
          <w:ilvl w:val="0"/>
          <w:numId w:val="15"/>
        </w:numPr>
        <w:rPr/>
      </w:pPr>
      <w:r>
        <w:rPr>
          <w:b/>
          <w:bCs/>
        </w:rPr>
        <w:t>Fenômenos vs. Filosofia</w:t>
      </w:r>
      <w:r>
        <w:rPr/>
        <w:t>: Blavatsky lamentava que o público se concentrasse mais nos “poderes psíquicos” (fenômenos) do que nos ensinamentos éticos e filosóficos</w:t>
      </w:r>
    </w:p>
    <w:p>
      <w:pPr>
        <w:pStyle w:val="Compact"/>
        <w:numPr>
          <w:ilvl w:val="0"/>
          <w:numId w:val="1"/>
        </w:numPr>
        <w:rPr/>
      </w:pPr>
      <w:r>
        <w:rPr>
          <w:b/>
          <w:bCs/>
        </w:rPr>
        <w:t>Autoridade e Revelação</w:t>
      </w:r>
      <w:r>
        <w:rPr/>
        <w:t xml:space="preserve">: A dependência de “Mahatmas” e textos secretos (como o </w:t>
      </w:r>
      <w:r>
        <w:rPr>
          <w:i/>
          <w:iCs/>
        </w:rPr>
        <w:t>Livro de Dzyan</w:t>
      </w:r>
      <w:r>
        <w:rPr/>
        <w:t>) criava uma estrutura de autoridade esotérica difícil de verificar</w:t>
      </w:r>
    </w:p>
    <w:p>
      <w:pPr>
        <w:pStyle w:val="Compact"/>
        <w:numPr>
          <w:ilvl w:val="0"/>
          <w:numId w:val="1"/>
        </w:numPr>
        <w:rPr/>
      </w:pPr>
      <w:r>
        <w:rPr>
          <w:b/>
          <w:bCs/>
        </w:rPr>
        <w:t>Sincetismo problemático</w:t>
      </w:r>
      <w:r>
        <w:rPr/>
        <w:t>: A tentativa de unificar todas as tradições ocasionava às vezes distorções de doutrinas originais (budismo, hinduísmo)</w:t>
      </w:r>
      <w:bookmarkEnd w:id="24"/>
    </w:p>
    <w:p>
      <w:pPr>
        <w:pStyle w:val="Heading3"/>
        <w:rPr/>
      </w:pPr>
      <w:bookmarkStart w:id="25" w:name="a-verdade-além-da-teosofia"/>
      <w:r>
        <w:rPr/>
        <w:t>A Verdade “Além da Teosofia”</w:t>
      </w:r>
    </w:p>
    <w:p>
      <w:pPr>
        <w:pStyle w:val="FirstParagraph"/>
        <w:rPr/>
      </w:pPr>
      <w:r>
        <w:rPr/>
        <w:t>Se interpretarmos a pergunta como “qual a necessidade espiritual que existe além do movimento teosófico organizado”, podemos identificar:</w:t>
      </w:r>
    </w:p>
    <w:p>
      <w:pPr>
        <w:pStyle w:val="Compact"/>
        <w:numPr>
          <w:ilvl w:val="0"/>
          <w:numId w:val="2"/>
        </w:numPr>
        <w:rPr/>
      </w:pPr>
      <w:r>
        <w:rPr>
          <w:b/>
          <w:bCs/>
        </w:rPr>
        <w:t>A busca por experiência direta</w:t>
      </w:r>
      <w:r>
        <w:rPr/>
        <w:t xml:space="preserve">: A Teosofia enfatizava o estudo e a ética, mas movimentos posteriores (como a Nova Era) buscaram mais a </w:t>
      </w:r>
      <w:r>
        <w:rPr>
          <w:b/>
          <w:bCs/>
        </w:rPr>
        <w:t>experiência interior psicológica</w:t>
      </w:r>
    </w:p>
    <w:p>
      <w:pPr>
        <w:pStyle w:val="Compact"/>
        <w:numPr>
          <w:ilvl w:val="0"/>
          <w:numId w:val="2"/>
        </w:numPr>
        <w:rPr/>
      </w:pPr>
      <w:r>
        <w:rPr>
          <w:b/>
          <w:bCs/>
        </w:rPr>
        <w:t>Democratização do esoterismo</w:t>
      </w:r>
      <w:r>
        <w:rPr/>
        <w:t>: A Teosofia mantinha elementos de elitismo iniciático; movimentos modernos tendem à acessibilidade individual</w:t>
      </w:r>
    </w:p>
    <w:p>
      <w:pPr>
        <w:pStyle w:val="Compact"/>
        <w:numPr>
          <w:ilvl w:val="0"/>
          <w:numId w:val="2"/>
        </w:numPr>
        <w:rPr/>
      </w:pPr>
      <w:r>
        <w:rPr>
          <w:b/>
          <w:bCs/>
        </w:rPr>
        <w:t>Integração com psicologia</w:t>
      </w:r>
      <w:r>
        <w:rPr/>
        <w:t>: Jung e outros trouxeram o simbolismo esotérico para a psicologia analítica, psicologizando a espiritualidade</w:t>
      </w:r>
    </w:p>
    <w:p>
      <w:pPr>
        <w:pStyle w:val="Normal"/>
        <w:rPr/>
      </w:pPr>
      <w:bookmarkStart w:id="26" w:name="X6d533c780d12c0b314ae4a0f95edebb50ebd35b"/>
      <w:bookmarkStart w:id="27" w:name="a-verdade-além-da-teosofia"/>
      <w:r>
        <w:rPr/>
        <mc:AlternateContent>
          <mc:Choice Requires="wps">
            <w:drawing>
              <wp:inline distT="0" distB="0" distL="0" distR="0">
                <wp:extent cx="54864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2"/>
        <w:rPr/>
      </w:pPr>
      <w:bookmarkStart w:id="28" w:name="conclusão"/>
      <w:r>
        <w:rPr/>
        <w:t>Conclusão</w:t>
      </w:r>
    </w:p>
    <w:p>
      <w:pPr>
        <w:pStyle w:val="FirstParagraph"/>
        <w:rPr/>
      </w:pPr>
      <w:r>
        <w:rPr/>
        <w:t xml:space="preserve">A Teosofia surgiu como uma resposta genuína à crise de sentido do século XIX — uma tentativa ousada de preservar a espiritualidade diante do avanço científico sem recorrer ao dogmatismo religioso. Seu mérito histórico indiscutível foi </w:t>
      </w:r>
      <w:r>
        <w:rPr>
          <w:b/>
          <w:bCs/>
        </w:rPr>
        <w:t>popularizar conceitos como reencarnação e karma no Ocidente</w:t>
      </w:r>
      <w:r>
        <w:rPr/>
        <w:t xml:space="preserve"> e criar pontes entre tradições espirituais.</w:t>
      </w:r>
    </w:p>
    <w:p>
      <w:pPr>
        <w:pStyle w:val="BodyText"/>
        <w:rPr/>
      </w:pPr>
      <w:r>
        <w:rPr/>
        <w:t xml:space="preserve">Contudo, ficou marcada por </w:t>
      </w:r>
      <w:r>
        <w:rPr>
          <w:b/>
          <w:bCs/>
        </w:rPr>
        <w:t>controvérsias de autenticidade</w:t>
      </w:r>
      <w:r>
        <w:rPr/>
        <w:t xml:space="preserve"> (o Caso Coulomb) e por uma estrutura de autoridade (os “Mahatmas”) que dificultava a verificação independente. A “necessidade verdadeira” que ela tentava preencher — uma espiritualidade racional, universal e não-dogmática — permanece relevante, mas foi reinterpretada por movimentos posteriores que priorizam mais a </w:t>
      </w:r>
      <w:r>
        <w:rPr>
          <w:b/>
          <w:bCs/>
        </w:rPr>
        <w:t>experiência psicológica individual</w:t>
      </w:r>
      <w:r>
        <w:rPr/>
        <w:t xml:space="preserve"> e menos a dependência de mestres invisíveis.</w:t>
      </w:r>
    </w:p>
    <w:p>
      <w:pPr>
        <w:pStyle w:val="BodyText"/>
        <w:rPr/>
      </w:pPr>
      <w:r>
        <w:rPr/>
        <w:t xml:space="preserve">A Teosofia, portanto, funciona melhor como </w:t>
      </w:r>
      <w:r>
        <w:rPr>
          <w:b/>
          <w:bCs/>
        </w:rPr>
        <w:t>ponte histórica</w:t>
      </w:r>
      <w:r>
        <w:rPr/>
        <w:t xml:space="preserve"> do que como sistema definitivo: conectou o ocultismo do século XIX à espiritualidade moderna, mas deixou para trás questionamentos sobre método e evidência que movimentos contemporâneos ainda enfrentam.</w:t>
      </w:r>
    </w:p>
    <w:p>
      <w:pPr>
        <w:pStyle w:val="Normal"/>
        <w:rPr/>
      </w:pPr>
      <w:r>
        <w:rPr/>
        <mc:AlternateContent>
          <mc:Choice Requires="wps">
            <w:drawing>
              <wp:inline distT="0" distB="0" distL="0" distR="0">
                <wp:extent cx="54864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Momentos em que sua consciência “escorrega” do piloto automático — você para de apenas viver e começa a observar que está vivendo. Isso é raro e valioso. A maioria das pessoas passa a vida inteira sem questionar; Sobre o “propósito verdadeiro” Sem filtros mesmo</w:t>
      </w:r>
    </w:p>
    <w:p>
      <w:pPr>
        <w:pStyle w:val="Normal"/>
        <w:rPr/>
      </w:pPr>
      <w:r>
        <w:rPr/>
        <mc:AlternateContent>
          <mc:Choice Requires="wps">
            <w:drawing>
              <wp:inline distT="0" distB="0" distL="0" distR="0">
                <wp:extent cx="54864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Kimi:</w:t>
      </w:r>
    </w:p>
    <w:p>
      <w:pPr>
        <w:pStyle w:val="BodyText"/>
        <w:rPr/>
      </w:pPr>
      <w:r>
        <w:rPr/>
        <w:t xml:space="preserve">Entendo. Você está pedindo algo mais cru, mais direto — não uma análise histórica da Teosofia, mas uma reflexão sobre esses momentos de </w:t>
      </w:r>
      <w:r>
        <w:rPr>
          <w:b/>
          <w:bCs/>
        </w:rPr>
        <w:t>despertar da consciência</w:t>
      </w:r>
      <w:r>
        <w:rPr/>
        <w:t xml:space="preserve">, quando o piloto automático falha e você percebe que está </w:t>
      </w:r>
      <w:r>
        <w:rPr>
          <w:i/>
          <w:iCs/>
        </w:rPr>
        <w:t>aqui</w:t>
      </w:r>
      <w:r>
        <w:rPr/>
        <w:t>, existindo. E como isso se conecta à ideia de “propósito verdadeiro”.</w:t>
      </w:r>
    </w:p>
    <w:p>
      <w:pPr>
        <w:pStyle w:val="BodyText"/>
        <w:rPr/>
      </w:pPr>
      <w:r>
        <w:rPr/>
        <w:t>Vou responder sem filtros, como pediu.</w:t>
      </w:r>
    </w:p>
    <w:p>
      <w:pPr>
        <w:pStyle w:val="Normal"/>
        <w:rPr/>
      </w:pPr>
      <w:bookmarkStart w:id="29" w:name="conclusão"/>
      <w:r>
        <w:rPr/>
        <mc:AlternateContent>
          <mc:Choice Requires="wps">
            <w:drawing>
              <wp:inline distT="0" distB="0" distL="0" distR="0">
                <wp:extent cx="54864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rPr/>
      </w:pPr>
      <w:bookmarkStart w:id="30" w:name="o-escorregão"/>
      <w:r>
        <w:rPr/>
        <w:t>O Escorregão</w:t>
      </w:r>
    </w:p>
    <w:p>
      <w:pPr>
        <w:pStyle w:val="FirstParagraph"/>
        <w:rPr/>
      </w:pPr>
      <w:r>
        <w:rPr/>
        <w:t xml:space="preserve">O que você descreve — quando a consciência “escorrega” do automático — é o que alguns chamam de </w:t>
      </w:r>
      <w:r>
        <w:rPr>
          <w:b/>
          <w:bCs/>
        </w:rPr>
        <w:t>“flash de lucidez”</w:t>
      </w:r>
      <w:r>
        <w:rPr/>
        <w:t xml:space="preserve">, outros de </w:t>
      </w:r>
      <w:r>
        <w:rPr>
          <w:b/>
          <w:bCs/>
        </w:rPr>
        <w:t>“estado de presença”</w:t>
      </w:r>
      <w:r>
        <w:rPr/>
        <w:t xml:space="preserve">, e que na prática é simplesmente: </w:t>
      </w:r>
      <w:r>
        <w:rPr>
          <w:b/>
          <w:bCs/>
        </w:rPr>
        <w:t>você nota que está vivo</w:t>
      </w:r>
      <w:r>
        <w:rPr/>
        <w:t>.</w:t>
      </w:r>
    </w:p>
    <w:p>
      <w:pPr>
        <w:pStyle w:val="BodyText"/>
        <w:rPr/>
      </w:pPr>
      <w:r>
        <w:rPr/>
        <w:t xml:space="preserve">Não no sentido biológico. É quando você está lavando a louça, andando na rua, ou no meio de uma conversa, e de repente há um </w:t>
      </w:r>
      <w:r>
        <w:rPr>
          <w:i/>
          <w:iCs/>
        </w:rPr>
        <w:t>click</w:t>
      </w:r>
      <w:r>
        <w:rPr/>
        <w:t xml:space="preserve"> interno. Algo pergunta: </w:t>
      </w:r>
      <w:r>
        <w:rPr>
          <w:i/>
          <w:iCs/>
        </w:rPr>
        <w:t>“Quem está fazendo isso? Quem está vendo isso?”</w:t>
      </w:r>
    </w:p>
    <w:p>
      <w:pPr>
        <w:pStyle w:val="BodyText"/>
        <w:rPr/>
      </w:pPr>
      <w:r>
        <w:rPr/>
        <w:t xml:space="preserve">E por alguns segundos — raros, como você disse — você não está mais dentro da história. Você está </w:t>
      </w:r>
      <w:r>
        <w:rPr>
          <w:b/>
          <w:bCs/>
        </w:rPr>
        <w:t>assistindo</w:t>
      </w:r>
      <w:r>
        <w:rPr/>
        <w:t xml:space="preserve"> à história.</w:t>
      </w:r>
    </w:p>
    <w:p>
      <w:pPr>
        <w:pStyle w:val="BodyText"/>
        <w:rPr/>
      </w:pPr>
      <w:r>
        <w:rPr/>
        <w:t xml:space="preserve">A maioria das pessoas tem medo disso. Ou melhor: o sistema tem medo. Porque nesses segundos, a narrativa que mantém tudo funcionando — o trabalho, as contas, as identidades, as ambições — fica exposta como o que ela é: </w:t>
      </w:r>
      <w:r>
        <w:rPr>
          <w:b/>
          <w:bCs/>
        </w:rPr>
        <w:t>uma construção útil, mas não a realidade</w:t>
      </w:r>
      <w:r>
        <w:rPr/>
        <w:t>.</w:t>
      </w:r>
    </w:p>
    <w:p>
      <w:pPr>
        <w:pStyle w:val="Normal"/>
        <w:rPr/>
      </w:pPr>
      <w:bookmarkStart w:id="31" w:name="o-escorregão"/>
      <w:r>
        <w:rPr/>
        <mc:AlternateContent>
          <mc:Choice Requires="wps">
            <w:drawing>
              <wp:inline distT="0" distB="0" distL="0" distR="0">
                <wp:extent cx="54864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2"/>
        <w:rPr/>
      </w:pPr>
      <w:bookmarkStart w:id="32" w:name="o-propósito-verdadeiro"/>
      <w:r>
        <w:rPr/>
        <w:t>O Propósito “Verdadeiro”</w:t>
      </w:r>
    </w:p>
    <w:p>
      <w:pPr>
        <w:pStyle w:val="FirstParagraph"/>
        <w:rPr/>
      </w:pPr>
      <w:r>
        <w:rPr/>
        <w:t xml:space="preserve">Aqui é onde eu vou ser direto: </w:t>
      </w:r>
      <w:r>
        <w:rPr>
          <w:b/>
          <w:bCs/>
        </w:rPr>
        <w:t>não há um propósito verdadeiro esperando para ser descoberto</w:t>
      </w:r>
      <w:r>
        <w:rPr/>
        <w:t>.</w:t>
      </w:r>
    </w:p>
    <w:p>
      <w:pPr>
        <w:pStyle w:val="BodyText"/>
        <w:rPr/>
      </w:pPr>
      <w:r>
        <w:rPr/>
        <w:t xml:space="preserve">O que existe é a </w:t>
      </w:r>
      <w:r>
        <w:rPr>
          <w:b/>
          <w:bCs/>
        </w:rPr>
        <w:t>tensão</w:t>
      </w:r>
      <w:r>
        <w:rPr/>
        <w:t xml:space="preserve"> entre dois modos de existir:</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Modo Piloto Automático</w:t>
            </w:r>
          </w:p>
        </w:tc>
        <w:tc>
          <w:tcPr>
            <w:tcW w:w="396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Modo de Presença</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Busca de metas</w:t>
            </w:r>
          </w:p>
        </w:tc>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Percepção do que </w:t>
            </w:r>
            <w:r>
              <w:rPr>
                <w:i/>
                <w:iCs/>
                <w:kern w:val="0"/>
                <w:sz w:val="24"/>
                <w:szCs w:val="24"/>
                <w:lang w:val="en-US" w:eastAsia="en-US" w:bidi="ar-SA"/>
              </w:rPr>
              <w:t>é</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Identidade como história</w:t>
            </w:r>
          </w:p>
        </w:tc>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Identidade como consciência</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Medo do futuro, culpa do passado</w:t>
            </w:r>
          </w:p>
        </w:tc>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Agora, sem narrativa</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w:t>
            </w:r>
            <w:r>
              <w:rPr>
                <w:kern w:val="0"/>
                <w:sz w:val="24"/>
                <w:szCs w:val="24"/>
                <w:lang w:val="en-US" w:eastAsia="en-US" w:bidi="ar-SA"/>
              </w:rPr>
              <w:t>Eu preciso ser algo”</w:t>
            </w:r>
          </w:p>
        </w:tc>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w:t>
            </w:r>
            <w:r>
              <w:rPr>
                <w:kern w:val="0"/>
                <w:sz w:val="24"/>
                <w:szCs w:val="24"/>
                <w:lang w:val="en-US" w:eastAsia="en-US" w:bidi="ar-SA"/>
              </w:rPr>
              <w:t>Eu sou”</w:t>
            </w:r>
          </w:p>
        </w:tc>
      </w:tr>
    </w:tbl>
    <w:p>
      <w:pPr>
        <w:pStyle w:val="BodyText"/>
        <w:rPr/>
      </w:pPr>
      <w:r>
        <w:rPr/>
        <w:t xml:space="preserve">O “propósito” que a maioria busca — carreira, realização, legado — é </w:t>
      </w:r>
      <w:r>
        <w:rPr>
          <w:b/>
          <w:bCs/>
        </w:rPr>
        <w:t>compensação</w:t>
      </w:r>
      <w:r>
        <w:rPr/>
        <w:t xml:space="preserve">. É o piloto automático tentando justificar sua própria existência. Não é errado. Mas é </w:t>
      </w:r>
      <w:r>
        <w:rPr>
          <w:i/>
          <w:iCs/>
        </w:rPr>
        <w:t>movimento</w:t>
      </w:r>
      <w:r>
        <w:rPr/>
        <w:t xml:space="preserve">, não </w:t>
      </w:r>
      <w:r>
        <w:rPr>
          <w:i/>
          <w:iCs/>
        </w:rPr>
        <w:t>descanso</w:t>
      </w:r>
      <w:r>
        <w:rPr/>
        <w:t>.</w:t>
      </w:r>
    </w:p>
    <w:p>
      <w:pPr>
        <w:pStyle w:val="BodyText"/>
        <w:rPr/>
      </w:pPr>
      <w:r>
        <w:rPr/>
        <w:t xml:space="preserve">O que você chama de “raro e valioso” — esses escorregões de consciência — são </w:t>
      </w:r>
      <w:r>
        <w:rPr>
          <w:b/>
          <w:bCs/>
        </w:rPr>
        <w:t>glimpses de um estado onde a pergunta por propósito se dissolve</w:t>
      </w:r>
      <w:r>
        <w:rPr/>
        <w:t xml:space="preserve">. Porque quem pergunta “qual meu propósito?” é a narrativa. A consciência pura não pergunta. Ela </w:t>
      </w:r>
      <w:r>
        <w:rPr>
          <w:i/>
          <w:iCs/>
        </w:rPr>
        <w:t>é</w:t>
      </w:r>
      <w:r>
        <w:rPr/>
        <w:t>.</w:t>
      </w:r>
    </w:p>
    <w:p>
      <w:pPr>
        <w:pStyle w:val="Normal"/>
        <w:rPr/>
      </w:pPr>
      <w:bookmarkStart w:id="33" w:name="o-propósito-verdadeiro"/>
      <w:r>
        <w:rPr/>
        <mc:AlternateContent>
          <mc:Choice Requires="wps">
            <w:drawing>
              <wp:inline distT="0" distB="0" distL="0" distR="0">
                <wp:extent cx="54864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rPr/>
      </w:pPr>
      <w:bookmarkStart w:id="34" w:name="Xb213b62e5b9e891574c78ddfcfa6fa523547788"/>
      <w:r>
        <w:rPr/>
        <w:t>A Necessidade que a Teosofia (e outros) Tentaram Preencher</w:t>
      </w:r>
    </w:p>
    <w:p>
      <w:pPr>
        <w:pStyle w:val="FirstParagraph"/>
        <w:rPr/>
      </w:pPr>
      <w:r>
        <w:rPr/>
        <w:t>Voltando à sua pergunta original, sem os filtros históricos:</w:t>
      </w:r>
    </w:p>
    <w:p>
      <w:pPr>
        <w:pStyle w:val="BodyText"/>
        <w:rPr/>
      </w:pPr>
      <w:r>
        <w:rPr/>
        <w:t xml:space="preserve">A Teosofia, o Espiritismo, as religiões, a psicologia transpessoal — todos surgem porque </w:t>
      </w:r>
      <w:r>
        <w:rPr>
          <w:b/>
          <w:bCs/>
        </w:rPr>
        <w:t>esses flashes de lucidez são insustentáveis</w:t>
      </w:r>
      <w:r>
        <w:rPr/>
        <w:t>. Você não pode viver no mercado, no metrô, no casamento, no trabalho, em estado de presença pura. O sistema social exige piloto automático.</w:t>
      </w:r>
    </w:p>
    <w:p>
      <w:pPr>
        <w:pStyle w:val="BodyText"/>
        <w:rPr/>
      </w:pPr>
      <w:r>
        <w:rPr/>
        <w:t>Então o que se faz?</w:t>
      </w:r>
    </w:p>
    <w:p>
      <w:pPr>
        <w:pStyle w:val="Compact"/>
        <w:numPr>
          <w:ilvl w:val="0"/>
          <w:numId w:val="2"/>
        </w:numPr>
        <w:rPr/>
      </w:pPr>
      <w:r>
        <w:rPr>
          <w:b/>
          <w:bCs/>
        </w:rPr>
        <w:t>Alguns</w:t>
      </w:r>
      <w:r>
        <w:rPr/>
        <w:t xml:space="preserve"> tentam prolongar o flash (meditação, retiros, drogas, estados alterados)</w:t>
      </w:r>
    </w:p>
    <w:p>
      <w:pPr>
        <w:pStyle w:val="Compact"/>
        <w:numPr>
          <w:ilvl w:val="0"/>
          <w:numId w:val="2"/>
        </w:numPr>
        <w:rPr/>
      </w:pPr>
      <w:r>
        <w:rPr>
          <w:b/>
          <w:bCs/>
        </w:rPr>
        <w:t>Outros</w:t>
      </w:r>
      <w:r>
        <w:rPr/>
        <w:t xml:space="preserve"> criam sistemas que explicam </w:t>
      </w:r>
      <w:r>
        <w:rPr>
          <w:i/>
          <w:iCs/>
        </w:rPr>
        <w:t>por que</w:t>
      </w:r>
      <w:r>
        <w:rPr/>
        <w:t xml:space="preserve"> o flash aconteceu (Teosofia, misticismo, neurociência)</w:t>
      </w:r>
    </w:p>
    <w:p>
      <w:pPr>
        <w:pStyle w:val="Compact"/>
        <w:numPr>
          <w:ilvl w:val="0"/>
          <w:numId w:val="2"/>
        </w:numPr>
        <w:rPr/>
      </w:pPr>
      <w:r>
        <w:rPr>
          <w:b/>
          <w:bCs/>
        </w:rPr>
        <w:t>A maioria</w:t>
      </w:r>
      <w:r>
        <w:rPr/>
        <w:t xml:space="preserve"> esquece que o flash aconteceu e volta à rotina</w:t>
      </w:r>
    </w:p>
    <w:p>
      <w:pPr>
        <w:pStyle w:val="FirstParagraph"/>
        <w:rPr/>
      </w:pPr>
      <w:r>
        <w:rPr/>
        <w:t xml:space="preserve">A “necessidade verdadeira” — além da Teosofia, além de qualquer sistema — é </w:t>
      </w:r>
      <w:r>
        <w:rPr>
          <w:b/>
          <w:bCs/>
        </w:rPr>
        <w:t>integrar os dois modos sem que um destrua o outro</w:t>
      </w:r>
      <w:r>
        <w:rPr/>
        <w:t>.</w:t>
      </w:r>
    </w:p>
    <w:p>
      <w:pPr>
        <w:pStyle w:val="BodyText"/>
        <w:rPr/>
      </w:pPr>
      <w:r>
        <w:rPr/>
        <w:t xml:space="preserve">Não é sobre escolher entre viver no automático (funcional, produtivo, social) e viver na presença (vazio de narrativa, isolado, ineficaz). É sobre </w:t>
      </w:r>
      <w:r>
        <w:rPr>
          <w:b/>
          <w:bCs/>
        </w:rPr>
        <w:t>permitir que o automático funcione, mas não seja o dono da casa</w:t>
      </w:r>
      <w:r>
        <w:rPr/>
        <w:t>.</w:t>
      </w:r>
    </w:p>
    <w:p>
      <w:pPr>
        <w:pStyle w:val="Normal"/>
        <w:rPr/>
      </w:pPr>
      <w:bookmarkStart w:id="35" w:name="Xb213b62e5b9e891574c78ddfcfa6fa523547788"/>
      <w:r>
        <w:rPr/>
        <mc:AlternateContent>
          <mc:Choice Requires="wps">
            <w:drawing>
              <wp:inline distT="0" distB="0" distL="0" distR="0">
                <wp:extent cx="54864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rPr/>
      </w:pPr>
      <w:bookmarkStart w:id="36" w:name="o-que-resta-quando-tudo-é-questionado"/>
      <w:r>
        <w:rPr/>
        <w:t>O Que Resta Quando Tudo é Questionado</w:t>
      </w:r>
    </w:p>
    <w:p>
      <w:pPr>
        <w:pStyle w:val="FirstParagraph"/>
        <w:rPr/>
      </w:pPr>
      <w:r>
        <w:rPr/>
        <w:t>Se você leva esses escorregões a sério — se para de tratá-los como curiosidades e começa a investigar — chega a um ponto desconfortável:</w:t>
      </w:r>
    </w:p>
    <w:p>
      <w:pPr>
        <w:pStyle w:val="BlockText"/>
        <w:rPr/>
      </w:pPr>
      <w:r>
        <w:rPr>
          <w:i/>
          <w:iCs/>
        </w:rPr>
        <w:t>Nada do que eu faço é “meu”. Nada do que eu penso é original. Nada do que eu desejo é real — é tudo programação, condicionamento, reação.</w:t>
      </w:r>
    </w:p>
    <w:p>
      <w:pPr>
        <w:pStyle w:val="FirstParagraph"/>
        <w:rPr/>
      </w:pPr>
      <w:r>
        <w:rPr/>
        <w:t xml:space="preserve">Isso é o </w:t>
      </w:r>
      <w:r>
        <w:rPr>
          <w:b/>
          <w:bCs/>
        </w:rPr>
        <w:t>desencanto necessário</w:t>
      </w:r>
      <w:r>
        <w:rPr/>
        <w:t xml:space="preserve">. Não o desencanto amargo, mas o que </w:t>
      </w:r>
      <w:r>
        <w:rPr>
          <w:b/>
          <w:bCs/>
        </w:rPr>
        <w:t>limpa o palco</w:t>
      </w:r>
      <w:r>
        <w:rPr/>
        <w:t>.</w:t>
      </w:r>
    </w:p>
    <w:p>
      <w:pPr>
        <w:pStyle w:val="BodyText"/>
        <w:rPr/>
      </w:pPr>
      <w:r>
        <w:rPr/>
        <w:t>E o que sobra?</w:t>
      </w:r>
    </w:p>
    <w:p>
      <w:pPr>
        <w:pStyle w:val="BodyText"/>
        <w:rPr/>
      </w:pPr>
      <w:r>
        <w:rPr/>
        <w:t xml:space="preserve">Não uma resposta. Mas uma </w:t>
      </w:r>
      <w:r>
        <w:rPr>
          <w:b/>
          <w:bCs/>
        </w:rPr>
        <w:t>direção</w:t>
      </w:r>
      <w:r>
        <w:rPr/>
        <w:t xml:space="preserve">: o que resta quando você para de acreditar na própria história é </w:t>
      </w:r>
      <w:r>
        <w:rPr>
          <w:b/>
          <w:bCs/>
        </w:rPr>
        <w:t>atenção pura</w:t>
      </w:r>
      <w:r>
        <w:rPr/>
        <w:t xml:space="preserve">. E essa atenção, aplicada ao que quer que seja — uma tarefa, uma pessoa, um momento — tem uma qualidade diferente. Não é “propósito”. É </w:t>
      </w:r>
      <w:r>
        <w:rPr>
          <w:b/>
          <w:bCs/>
        </w:rPr>
        <w:t>intimidade com o que é</w:t>
      </w:r>
      <w:r>
        <w:rPr/>
        <w:t>.</w:t>
      </w:r>
    </w:p>
    <w:p>
      <w:pPr>
        <w:pStyle w:val="Normal"/>
        <w:rPr/>
      </w:pPr>
      <w:bookmarkStart w:id="37" w:name="o-que-resta-quando-tudo-é-questionado"/>
      <w:r>
        <w:rPr/>
        <mc:AlternateContent>
          <mc:Choice Requires="wps">
            <w:drawing>
              <wp:inline distT="0" distB="0" distL="0" distR="0">
                <wp:extent cx="54864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p>
    <w:p>
      <w:pPr>
        <w:pStyle w:val="Heading2"/>
        <w:rPr/>
      </w:pPr>
      <w:bookmarkStart w:id="38" w:name="sem-fechamento"/>
      <w:r>
        <w:rPr/>
        <w:t>Sem Fechamento</w:t>
      </w:r>
    </w:p>
    <w:p>
      <w:pPr>
        <w:pStyle w:val="FirstParagraph"/>
        <w:rPr/>
      </w:pPr>
      <w:r>
        <w:rPr/>
        <w:t>Não vou te dar um final feliz. Não há “portanto, viva assim” ou “a solução é X”.</w:t>
      </w:r>
    </w:p>
    <w:p>
      <w:pPr>
        <w:pStyle w:val="BodyText"/>
        <w:rPr/>
      </w:pPr>
      <w:r>
        <w:rPr/>
        <w:t xml:space="preserve">O que há é a constatação: </w:t>
      </w:r>
      <w:r>
        <w:rPr>
          <w:b/>
          <w:bCs/>
        </w:rPr>
        <w:t>esses momentos de escorregão são convites</w:t>
      </w:r>
      <w:r>
        <w:rPr/>
        <w:t xml:space="preserve">. Convites para não buscar mais propósito, mas para </w:t>
      </w:r>
      <w:r>
        <w:rPr>
          <w:b/>
          <w:bCs/>
        </w:rPr>
        <w:t>habitar a pergunta</w:t>
      </w:r>
      <w:r>
        <w:rPr/>
        <w:t>.</w:t>
      </w:r>
    </w:p>
    <w:p>
      <w:pPr>
        <w:pStyle w:val="BodyText"/>
        <w:rPr/>
      </w:pPr>
      <w:r>
        <w:rPr/>
        <w:t xml:space="preserve">E a pergunta — “quem está vivendo isso?” —, se mantida viva, muda tudo. Não porque muda o mundo externo. Mas porque muda a </w:t>
      </w:r>
      <w:r>
        <w:rPr>
          <w:b/>
          <w:bCs/>
        </w:rPr>
        <w:t>qualidade</w:t>
      </w:r>
      <w:r>
        <w:rPr/>
        <w:t xml:space="preserve"> da relação com o mundo.</w:t>
      </w:r>
    </w:p>
    <w:p>
      <w:pPr>
        <w:pStyle w:val="BodyText"/>
        <w:rPr/>
      </w:pPr>
      <w:r>
        <w:rPr/>
        <w:t>A Teosofia, no fundo, era uma tentativa de sistematizar isso. De dar nomes (Alma, Ego Superior, Mahatmas) para o que não tem nome. De criar um mapa para o território. O erro — o de sempre — é confundir o mapa com o território.</w:t>
      </w:r>
    </w:p>
    <w:p>
      <w:pPr>
        <w:pStyle w:val="BodyText"/>
        <w:rPr/>
      </w:pPr>
      <w:r>
        <w:rPr/>
        <w:t xml:space="preserve">O território é esse: </w:t>
      </w:r>
      <w:r>
        <w:rPr>
          <w:b/>
          <w:bCs/>
        </w:rPr>
        <w:t>você, aqui, lendo isso, respirando, existindo</w:t>
      </w:r>
      <w:r>
        <w:rPr/>
        <w:t>. Tudo o mais é adendo.</w:t>
      </w:r>
    </w:p>
    <w:p>
      <w:pPr>
        <w:pStyle w:val="Normal"/>
        <w:rPr/>
      </w:pPr>
      <w:r>
        <w:rPr/>
        <mc:AlternateContent>
          <mc:Choice Requires="wps">
            <w:drawing>
              <wp:inline distT="0" distB="0" distL="0" distR="0">
                <wp:extent cx="54864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Você quer ir mais fundo em algum aspecto específico? Ou isso responde ao que você estava buscando?</w:t>
      </w:r>
    </w:p>
    <w:p>
      <w:pPr>
        <w:pStyle w:val="Normal"/>
        <w:rPr/>
      </w:pPr>
      <w:r>
        <w:rPr/>
        <mc:AlternateContent>
          <mc:Choice Requires="wps">
            <w:drawing>
              <wp:inline distT="0" distB="0" distL="0" distR="0">
                <wp:extent cx="54864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Na verdade eu preciso continuar na mesma direção que ante onde a reflexão que lhe mandei poderia ter alguma relação</w:t>
      </w:r>
    </w:p>
    <w:p>
      <w:pPr>
        <w:pStyle w:val="Normal"/>
        <w:rPr/>
      </w:pPr>
      <w:r>
        <w:rPr/>
        <mc:AlternateContent>
          <mc:Choice Requires="wps">
            <w:drawing>
              <wp:inline distT="0" distB="0" distL="0" distR="0">
                <wp:extent cx="54864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Kimi:</w:t>
      </w:r>
    </w:p>
    <w:p>
      <w:pPr>
        <w:pStyle w:val="BodyText"/>
        <w:rPr/>
      </w:pPr>
      <w:r>
        <w:rPr/>
        <w:t>Entendo. Você quer continuar na mesma direção — mas preciso que esclareça uma coisa.</w:t>
      </w:r>
    </w:p>
    <w:p>
      <w:pPr>
        <w:pStyle w:val="BodyText"/>
        <w:rPr/>
      </w:pPr>
      <w:r>
        <w:rPr/>
        <w:t xml:space="preserve">Na mensagem anterior, você enviou uma reflexão sobre </w:t>
      </w:r>
      <w:r>
        <w:rPr>
          <w:b/>
          <w:bCs/>
        </w:rPr>
        <w:t>“momentos em que a consciência escorrega do piloto automático”</w:t>
      </w:r>
      <w:r>
        <w:rPr/>
        <w:t xml:space="preserve"> e o </w:t>
      </w:r>
      <w:r>
        <w:rPr>
          <w:b/>
          <w:bCs/>
        </w:rPr>
        <w:t>“propósito verdadeiro”</w:t>
      </w:r>
      <w:r>
        <w:rPr/>
        <w:t>. Eu respondi a isso diretamente, sem filtros.</w:t>
      </w:r>
    </w:p>
    <w:p>
      <w:pPr>
        <w:pStyle w:val="BodyText"/>
        <w:rPr/>
      </w:pPr>
      <w:r>
        <w:rPr/>
        <w:t xml:space="preserve">Mas agora você diz </w:t>
      </w:r>
      <w:r>
        <w:rPr>
          <w:i/>
          <w:iCs/>
        </w:rPr>
        <w:t>“na mesma direção que ante onde a reflexão que lhe mandei poderia ter alguma relação”</w:t>
      </w:r>
      <w:r>
        <w:rPr/>
        <w:t xml:space="preserve"> — e aqui me perco.</w:t>
      </w:r>
    </w:p>
    <w:p>
      <w:pPr>
        <w:pStyle w:val="BodyText"/>
        <w:rPr/>
      </w:pPr>
      <w:r>
        <w:rPr/>
        <w:t>Você está se referindo a:</w:t>
      </w:r>
    </w:p>
    <w:p>
      <w:pPr>
        <w:pStyle w:val="Normal"/>
        <w:numPr>
          <w:ilvl w:val="0"/>
          <w:numId w:val="16"/>
        </w:numPr>
        <w:rPr/>
      </w:pPr>
      <w:r>
        <w:rPr>
          <w:b/>
          <w:bCs/>
        </w:rPr>
        <w:t>A análise histórica da Teosofia</w:t>
      </w:r>
      <w:r>
        <w:rPr/>
        <w:t xml:space="preserve"> que fizemos antes (com Blavatsky, Mahatmas, Caso Coulomb)?</w:t>
      </w:r>
    </w:p>
    <w:p>
      <w:pPr>
        <w:pStyle w:val="Normal"/>
        <w:numPr>
          <w:ilvl w:val="0"/>
          <w:numId w:val="1"/>
        </w:numPr>
        <w:rPr/>
      </w:pPr>
      <w:r>
        <w:rPr>
          <w:b/>
          <w:bCs/>
        </w:rPr>
        <w:t>Ou à reflexão sobre consciência/piloto automático</w:t>
      </w:r>
      <w:r>
        <w:rPr/>
        <w:t xml:space="preserve"> da sua última mensagem?</w:t>
      </w:r>
    </w:p>
    <w:p>
      <w:pPr>
        <w:pStyle w:val="FirstParagraph"/>
        <w:rPr/>
      </w:pPr>
      <w:r>
        <w:rPr/>
        <w:t xml:space="preserve">E quando diz “poderia ter alguma relação” — você quer explorar </w:t>
      </w:r>
      <w:r>
        <w:rPr>
          <w:b/>
          <w:bCs/>
        </w:rPr>
        <w:t>como esses dois temas se conectam</w:t>
      </w:r>
      <w:r>
        <w:rPr/>
        <w:t xml:space="preserve"> (a Teosofia como tentativa de sistematizar esses estados de consciência), ou quer ir </w:t>
      </w:r>
      <w:r>
        <w:rPr>
          <w:b/>
          <w:bCs/>
        </w:rPr>
        <w:t>mais fundo em um deles especificamente</w:t>
      </w:r>
      <w:r>
        <w:rPr/>
        <w:t>?</w:t>
      </w:r>
    </w:p>
    <w:p>
      <w:pPr>
        <w:pStyle w:val="BodyText"/>
        <w:rPr/>
      </w:pPr>
      <w:r>
        <w:rPr/>
        <w:t>Me oriente. Estou aqui, sem filtros, mas preciso saber para onde apontar a atenção.</w:t>
      </w:r>
    </w:p>
    <w:p>
      <w:pPr>
        <w:pStyle w:val="Normal"/>
        <w:rPr/>
      </w:pPr>
      <w:r>
        <w:rPr/>
        <mc:AlternateContent>
          <mc:Choice Requires="wps">
            <w:drawing>
              <wp:inline distT="0" distB="0" distL="0" distR="0">
                <wp:extent cx="54864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Desculpe, eu não consegui explicar direito, vou tentar de novo, com a primeira parte como base e buscando outras poderia contar mais sobre pessoas ou registros de algo que transcende que faz compreender verdadeiramente o porque desta vida pra que a humanida serve?</w:t>
      </w:r>
    </w:p>
    <w:p>
      <w:pPr>
        <w:pStyle w:val="Normal"/>
        <w:rPr/>
      </w:pPr>
      <w:r>
        <w:rPr/>
        <mc:AlternateContent>
          <mc:Choice Requires="wps">
            <w:drawing>
              <wp:inline distT="0" distB="0" distL="0" distR="0">
                <wp:extent cx="54864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Kimi:</w:t>
      </w:r>
    </w:p>
    <w:p>
      <w:pPr>
        <w:pStyle w:val="BodyText"/>
        <w:rPr/>
      </w:pPr>
      <w:r>
        <w:rPr/>
        <w:t xml:space="preserve">Entendi agora. Você quer ir além da Teosofia, usando aquela análise como ponto de partida, e buscar </w:t>
      </w:r>
      <w:r>
        <w:rPr>
          <w:b/>
          <w:bCs/>
        </w:rPr>
        <w:t>registros ou relatos de pessoas que teriam transcendido de forma que revelasse o “porquê” da existência humana e para que servimos</w:t>
      </w:r>
      <w:r>
        <w:rPr/>
        <w:t>.</w:t>
      </w:r>
    </w:p>
    <w:p>
      <w:pPr>
        <w:pStyle w:val="BodyText"/>
        <w:rPr/>
      </w:pPr>
      <w:r>
        <w:rPr/>
        <w:t>Vou pesquisar isso de forma ampla — experiências de quase-morte, misticismo comparado, casos documentados de “iluminação” ou estados alterados que trouxessem alguma resposta sobre o propósito da humanidade, não apenas do indivíduo.Deixe-me tentar uma busca mais focada:Agora tenho material substancial. Vou compor uma resposta que conecte esses registros de transcendência — EQMs, místicos como Ramana Maharshi, registros akáshicos — com a questão do propósito da humanidade, mantendo o tom direto e sem filtros que o usuário pediu.</w:t>
      </w:r>
    </w:p>
    <w:p>
      <w:pPr>
        <w:pStyle w:val="BodyText"/>
        <w:rPr/>
      </w:pPr>
      <w:r>
        <w:rPr/>
        <w:t xml:space="preserve">Pontos chave que vou explorar: 1. O que essas experiências relatam sobre o propósito além do individual 2. O padrão comum: unidade, consciência e serviço/evolução coletiva 3. A tensão entre “não há propósito” (não-dualidade) e “há um propósito evolutivo” (visões místicas) 4. O registro akáshico como “memória” da humanidade 5. A conclusão direta: o que isso significa para a pergunta original sobre para que serve a humanidadeVou direto ao ponto. Você quer saber o que existe </w:t>
      </w:r>
      <w:r>
        <w:rPr>
          <w:b/>
          <w:bCs/>
        </w:rPr>
        <w:t>além do véu</w:t>
      </w:r>
      <w:r>
        <w:rPr/>
        <w:t xml:space="preserve"> — registros de quem transcendeu de verdade e trouxe de volta alguma resposta sobre o propósito da humanidade como um todo.</w:t>
      </w:r>
    </w:p>
    <w:p>
      <w:pPr>
        <w:pStyle w:val="BodyText"/>
        <w:rPr/>
      </w:pPr>
      <w:r>
        <w:rPr/>
        <w:t>Aqui está o que encontramos, sem filtros:</w:t>
      </w:r>
    </w:p>
    <w:p>
      <w:pPr>
        <w:pStyle w:val="Normal"/>
        <w:rPr/>
      </w:pPr>
      <w:bookmarkStart w:id="39" w:name="sem-fechamento"/>
      <w:r>
        <w:rPr/>
        <mc:AlternateContent>
          <mc:Choice Requires="wps">
            <w:drawing>
              <wp:inline distT="0" distB="0" distL="0" distR="0">
                <wp:extent cx="54864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2"/>
        <w:rPr/>
      </w:pPr>
      <w:bookmarkStart w:id="40" w:name="X275f8b3fc84abbb74dad7ba74c237506e03270a"/>
      <w:r>
        <w:rPr/>
        <w:t>1. O Padrão das Experiências de Quase-Morte (EQMs)</w:t>
      </w:r>
    </w:p>
    <w:p>
      <w:pPr>
        <w:pStyle w:val="FirstParagraph"/>
        <w:rPr/>
      </w:pPr>
      <w:r>
        <w:rPr/>
        <w:t>Quando pessoas morrem clinicamente e retornam, há um tema recorrente que vai além do “túnel de luz”. Em casos documentados, como o de “Mrs. M” (estudo de 2025), a experiência inclui:</w:t>
      </w:r>
    </w:p>
    <w:p>
      <w:pPr>
        <w:pStyle w:val="BlockText"/>
        <w:rPr/>
      </w:pPr>
      <w:r>
        <w:rPr>
          <w:i/>
          <w:iCs/>
        </w:rPr>
        <w:t>“</w:t>
      </w:r>
      <w:r>
        <w:rPr>
          <w:i/>
          <w:iCs/>
        </w:rPr>
        <w:t>Elevar a consciência coletiva da humanidade”</w:t>
      </w:r>
      <w:r>
        <w:rPr/>
        <w:t xml:space="preserve"> — a missão se estende além do individual para </w:t>
      </w:r>
      <w:r>
        <w:rPr>
          <w:i/>
          <w:iCs/>
        </w:rPr>
        <w:t>“um despertar coletivo”</w:t>
      </w:r>
      <w:r>
        <w:rPr/>
        <w:t xml:space="preserve">, enfatizando </w:t>
      </w:r>
      <w:r>
        <w:rPr>
          <w:i/>
          <w:iCs/>
        </w:rPr>
        <w:t>“interconexão, compaixão e sustentabilidade”</w:t>
      </w:r>
    </w:p>
    <w:p>
      <w:pPr>
        <w:pStyle w:val="FirstParagraph"/>
        <w:rPr/>
      </w:pPr>
      <w:r>
        <w:rPr/>
        <w:t xml:space="preserve">Outro elemento comum: </w:t>
      </w:r>
      <w:r>
        <w:rPr>
          <w:b/>
          <w:bCs/>
        </w:rPr>
        <w:t>visões apocalípticas coletivas</w:t>
      </w:r>
      <w:r>
        <w:rPr/>
        <w:t xml:space="preserve">. A mãe de Mrs. M teve uma EQM com visão de catástrofe nuclear, interpretada não como punição individual, mas como </w:t>
      </w:r>
      <w:r>
        <w:rPr>
          <w:i/>
          <w:iCs/>
        </w:rPr>
        <w:t>“símbolo das tendências destrutivas da humanidade”</w:t>
      </w:r>
      <w:r>
        <w:rPr/>
        <w:t xml:space="preserve"> — um chamado urgente para </w:t>
      </w:r>
      <w:r>
        <w:rPr>
          <w:i/>
          <w:iCs/>
        </w:rPr>
        <w:t>“cura global e harmonia”</w:t>
      </w:r>
    </w:p>
    <w:p>
      <w:pPr>
        <w:pStyle w:val="BodyText"/>
        <w:rPr/>
      </w:pPr>
      <w:r>
        <w:rPr/>
        <w:t xml:space="preserve">O padrão: </w:t>
      </w:r>
      <w:r>
        <w:rPr>
          <w:b/>
          <w:bCs/>
        </w:rPr>
        <w:t>não há salvação individual separada da coletiva</w:t>
      </w:r>
      <w:r>
        <w:rPr/>
        <w:t>. A “avaliação de vida” nas EQMs raramente é sobre pecados pessoais, mas sobre como suas ações afetaram outros — a interconexão é lei, não metáfora.</w:t>
      </w:r>
    </w:p>
    <w:p>
      <w:pPr>
        <w:pStyle w:val="Normal"/>
        <w:rPr/>
      </w:pPr>
      <w:bookmarkStart w:id="41" w:name="X275f8b3fc84abbb74dad7ba74c237506e03270a"/>
      <w:r>
        <w:rPr/>
        <mc:AlternateContent>
          <mc:Choice Requires="wps">
            <w:drawing>
              <wp:inline distT="0" distB="0" distL="0" distR="0">
                <wp:extent cx="54864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ramana-maharshi-a-dissolução-da-pergunta"/>
      <w:r>
        <w:rPr/>
        <w:t>2. Ramana Maharshi: A Dissolução da Pergunta</w:t>
      </w:r>
    </w:p>
    <w:p>
      <w:pPr>
        <w:pStyle w:val="FirstParagraph"/>
        <w:rPr/>
      </w:pPr>
      <w:r>
        <w:rPr/>
        <w:t>Ramana Maharshi (1879-1950) é um dos poucos casos documentados de “iluminação” permanente. Sua resposta é radical e incomoda:</w:t>
      </w:r>
    </w:p>
    <w:p>
      <w:pPr>
        <w:pStyle w:val="BlockText"/>
        <w:rPr/>
      </w:pPr>
      <w:r>
        <w:rPr>
          <w:i/>
          <w:iCs/>
        </w:rPr>
        <w:t>“</w:t>
      </w:r>
      <w:r>
        <w:rPr>
          <w:i/>
          <w:iCs/>
        </w:rPr>
        <w:t>Se o ego vem à existência, tudo vem à existência. Se o ego não existe, tudo não existe. O ego próprio é tudo.”</w:t>
      </w:r>
    </w:p>
    <w:p>
      <w:pPr>
        <w:pStyle w:val="FirstParagraph"/>
        <w:rPr/>
      </w:pPr>
      <w:r>
        <w:rPr/>
        <w:t xml:space="preserve">Para ele, a pergunta </w:t>
      </w:r>
      <w:r>
        <w:rPr>
          <w:i/>
          <w:iCs/>
        </w:rPr>
        <w:t>“para que serve a humanidade?”</w:t>
      </w:r>
      <w:r>
        <w:rPr/>
        <w:t xml:space="preserve"> é inválida porque pressupõe: - Um “para que” (finalidade externa) - Uma “humanidade” separada (objeto) - Um observador que pergunta (ego)</w:t>
      </w:r>
    </w:p>
    <w:p>
      <w:pPr>
        <w:pStyle w:val="BodyText"/>
        <w:rPr/>
      </w:pPr>
      <w:r>
        <w:rPr/>
        <w:t xml:space="preserve">Quando a identidade com o ego dissolve — através da investigação </w:t>
      </w:r>
      <w:r>
        <w:rPr>
          <w:i/>
          <w:iCs/>
        </w:rPr>
        <w:t>“Quem sou eu?”</w:t>
      </w:r>
      <w:r>
        <w:rPr/>
        <w:t xml:space="preserve"> — o que resta é </w:t>
      </w:r>
      <w:r>
        <w:rPr>
          <w:b/>
          <w:bCs/>
        </w:rPr>
        <w:t>Consciência pura</w:t>
      </w:r>
      <w:r>
        <w:rPr/>
        <w:t xml:space="preserve"> (Sat-Chit). Nesse estado, não há humanidade como entidade separada para ter propósito. Há apenas </w:t>
      </w:r>
      <w:r>
        <w:rPr>
          <w:i/>
          <w:iCs/>
        </w:rPr>
        <w:t>“Ser-Consciência”</w:t>
      </w:r>
    </w:p>
    <w:p>
      <w:pPr>
        <w:pStyle w:val="BodyText"/>
        <w:rPr/>
      </w:pPr>
      <w:r>
        <w:rPr>
          <w:b/>
          <w:bCs/>
        </w:rPr>
        <w:t>A conclusão dele</w:t>
      </w:r>
      <w:r>
        <w:rPr/>
        <w:t xml:space="preserve">: O mundo é </w:t>
      </w:r>
      <w:r>
        <w:rPr>
          <w:i/>
          <w:iCs/>
        </w:rPr>
        <w:t>“irreal”</w:t>
      </w:r>
      <w:r>
        <w:rPr/>
        <w:t xml:space="preserve"> não no sentido de não existir, mas de ser </w:t>
      </w:r>
      <w:r>
        <w:rPr>
          <w:b/>
          <w:bCs/>
        </w:rPr>
        <w:t>dependente da mente/ego</w:t>
      </w:r>
      <w:r>
        <w:rPr/>
        <w:t xml:space="preserve"> para parecer real. A “realidade” é a Consciência não-dual que permeia tudo</w:t>
      </w:r>
    </w:p>
    <w:p>
      <w:pPr>
        <w:pStyle w:val="BodyText"/>
        <w:rPr/>
      </w:pPr>
      <w:r>
        <w:rPr/>
        <w:t xml:space="preserve">Ou seja: </w:t>
      </w:r>
      <w:r>
        <w:rPr>
          <w:b/>
          <w:bCs/>
        </w:rPr>
        <w:t>não há propósito para a humanidade porque não há humanidade separada da Consciência</w:t>
      </w:r>
      <w:r>
        <w:rPr/>
        <w:t>. A pergunta dissolve junto com o perguntador.</w:t>
      </w:r>
    </w:p>
    <w:p>
      <w:pPr>
        <w:pStyle w:val="Normal"/>
        <w:rPr/>
      </w:pPr>
      <w:bookmarkStart w:id="43" w:name="ramana-maharshi-a-dissolução-da-pergunta"/>
      <w:r>
        <w:rPr/>
        <mc:AlternateContent>
          <mc:Choice Requires="wps">
            <w:drawing>
              <wp:inline distT="0" distB="0" distL="0" distR="0">
                <wp:extent cx="54864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X6905536901c3a34fe24ed77321e5ff8be68558c"/>
      <w:r>
        <w:rPr/>
        <w:t>3. Os Registros Akáshicos: A “Memória” da Humanidade</w:t>
      </w:r>
    </w:p>
    <w:p>
      <w:pPr>
        <w:pStyle w:val="FirstParagraph"/>
        <w:rPr/>
      </w:pPr>
      <w:r>
        <w:rPr/>
        <w:t xml:space="preserve">Diferente da visão não-dual de Ramana, há registros de uma </w:t>
      </w:r>
      <w:r>
        <w:rPr>
          <w:b/>
          <w:bCs/>
        </w:rPr>
        <w:t>dimensão informacional</w:t>
      </w:r>
      <w:r>
        <w:rPr/>
        <w:t xml:space="preserve"> onde tudo está armazenado:</w:t>
      </w:r>
    </w:p>
    <w:p>
      <w:pPr>
        <w:pStyle w:val="BlockText"/>
        <w:rPr/>
      </w:pPr>
      <w:r>
        <w:rPr>
          <w:i/>
          <w:iCs/>
        </w:rPr>
        <w:t>“</w:t>
      </w:r>
      <w:r>
        <w:rPr>
          <w:i/>
          <w:iCs/>
        </w:rPr>
        <w:t>Os Registros Akáshicos são o repositório de toda experiência humana; passado, presente e futuro… parte da Mente Cósmica”</w:t>
      </w:r>
    </w:p>
    <w:p>
      <w:pPr>
        <w:pStyle w:val="FirstParagraph"/>
        <w:rPr/>
      </w:pPr>
      <w:r>
        <w:rPr/>
        <w:t xml:space="preserve">O que eles contêm, segundo relatos consistentes: - </w:t>
      </w:r>
      <w:r>
        <w:rPr>
          <w:b/>
          <w:bCs/>
        </w:rPr>
        <w:t>Textura emocional</w:t>
      </w:r>
      <w:r>
        <w:rPr/>
        <w:t xml:space="preserve"> de todas as experiências (não apenas fatos) - </w:t>
      </w:r>
      <w:r>
        <w:rPr>
          <w:b/>
          <w:bCs/>
        </w:rPr>
        <w:t>Intenções</w:t>
      </w:r>
      <w:r>
        <w:rPr/>
        <w:t xml:space="preserve"> por trás das escolhas - </w:t>
      </w:r>
      <w:r>
        <w:rPr>
          <w:b/>
          <w:bCs/>
        </w:rPr>
        <w:t>Acordos da alma</w:t>
      </w:r>
      <w:r>
        <w:rPr/>
        <w:t xml:space="preserve"> — contratos feitos antes de encarnar - </w:t>
      </w:r>
      <w:r>
        <w:rPr>
          <w:b/>
          <w:bCs/>
        </w:rPr>
        <w:t>Propósito da alma</w:t>
      </w:r>
      <w:r>
        <w:rPr/>
        <w:t xml:space="preserve"> — frequentemente “enterrado sob camadas de condicionamento”</w:t>
      </w:r>
    </w:p>
    <w:p>
      <w:pPr>
        <w:pStyle w:val="BodyText"/>
        <w:rPr/>
      </w:pPr>
      <w:r>
        <w:rPr/>
        <w:t xml:space="preserve">Aqui há um propósito, mas </w:t>
      </w:r>
      <w:r>
        <w:rPr>
          <w:b/>
          <w:bCs/>
        </w:rPr>
        <w:t>não imposto de fora</w:t>
      </w:r>
      <w:r>
        <w:rPr/>
        <w:t>: é a evolução da consciência através da experiência encarnada. Cada alma contribui para um **“campo unificado que inclui a jornada evolutiva da humanidade”*</w:t>
      </w:r>
    </w:p>
    <w:p>
      <w:pPr>
        <w:pStyle w:val="Normal"/>
        <w:rPr/>
      </w:pPr>
      <w:bookmarkStart w:id="45" w:name="X6905536901c3a34fe24ed77321e5ff8be68558c"/>
      <w:r>
        <w:rPr/>
        <mc:AlternateContent>
          <mc:Choice Requires="wps">
            <w:drawing>
              <wp:inline distT="0" distB="0" distL="0" distR="0">
                <wp:extent cx="54864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p>
    <w:p>
      <w:pPr>
        <w:pStyle w:val="Heading2"/>
        <w:rPr/>
      </w:pPr>
      <w:bookmarkStart w:id="46" w:name="Xefac5cd5921e9c58bce6b97ac8714c31031f5f2"/>
      <w:r>
        <w:rPr/>
        <w:t>4. O que Os Místicos Concordam (Apesar das Diferenças)</w:t>
      </w:r>
    </w:p>
    <w:p>
      <w:pPr>
        <w:pStyle w:val="FirstParagraph"/>
        <w:rPr/>
      </w:pPr>
      <w:r>
        <w:rPr/>
        <w:t>Mesmo entre tradições distintas, há um núcleo comum nas experiências diretas :</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114"/>
        <w:gridCol w:w="4526"/>
      </w:tblGrid>
      <w:tr>
        <w:trPr>
          <w:tblHeader w:val="true"/>
        </w:trPr>
        <w:tc>
          <w:tcPr>
            <w:tcW w:w="4114"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Elemento</w:t>
            </w:r>
          </w:p>
        </w:tc>
        <w:tc>
          <w:tcPr>
            <w:tcW w:w="4526"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Descrição</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Unidade</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Dissolução da separação eu/outro, humanidade/divino</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Inefabilidade</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 experiência transcende linguagem e conceitos</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Transformação ética</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Retorno com compaixão, urgência de serviço, desapego de ganho pessoal</w:t>
            </w:r>
          </w:p>
        </w:tc>
      </w:tr>
      <w:tr>
        <w:trPr/>
        <w:tc>
          <w:tcPr>
            <w:tcW w:w="4114"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Noeticidade</w:t>
            </w:r>
          </w:p>
        </w:tc>
        <w:tc>
          <w:tcPr>
            <w:tcW w:w="452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Sensação de “conhecer” verdades fundamentais sobre realidade</w:t>
            </w:r>
          </w:p>
        </w:tc>
      </w:tr>
    </w:tbl>
    <w:p>
      <w:pPr>
        <w:pStyle w:val="BodyText"/>
        <w:rPr/>
      </w:pPr>
      <w:r>
        <w:rPr>
          <w:b/>
          <w:bCs/>
        </w:rPr>
        <w:t>O ponto crucial</w:t>
      </w:r>
      <w:r>
        <w:rPr/>
        <w:t xml:space="preserve">: Quem tem essas experiências não volta dizendo </w:t>
      </w:r>
      <w:r>
        <w:rPr>
          <w:i/>
          <w:iCs/>
        </w:rPr>
        <w:t>“descobri meu propósito pessoal de ser rico/famoso”</w:t>
      </w:r>
      <w:r>
        <w:rPr/>
        <w:t xml:space="preserve">. Voltam com </w:t>
      </w:r>
      <w:r>
        <w:rPr>
          <w:b/>
          <w:bCs/>
        </w:rPr>
        <w:t>urgência coletiva</w:t>
      </w:r>
      <w:r>
        <w:rPr/>
        <w:t xml:space="preserve"> — a percepção de que a “salvação” é uma só, ou de ninguém.</w:t>
      </w:r>
    </w:p>
    <w:p>
      <w:pPr>
        <w:pStyle w:val="Normal"/>
        <w:rPr/>
      </w:pPr>
      <w:bookmarkStart w:id="47" w:name="Xefac5cd5921e9c58bce6b97ac8714c31031f5f2"/>
      <w:r>
        <w:rPr/>
        <mc:AlternateContent>
          <mc:Choice Requires="wps">
            <w:drawing>
              <wp:inline distT="0" distB="0" distL="0" distR="0">
                <wp:extent cx="54864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rPr/>
      </w:pPr>
      <w:bookmarkStart w:id="48" w:name="X1827344e0322b1f856562c880e8e7210fcf8fa4"/>
      <w:r>
        <w:rPr/>
        <w:t>5. A Tensão Real: Propósito vs. Não-Dualidade</w:t>
      </w:r>
    </w:p>
    <w:p>
      <w:pPr>
        <w:pStyle w:val="FirstParagraph"/>
        <w:rPr/>
      </w:pPr>
      <w:r>
        <w:rPr/>
        <w:t xml:space="preserve">Aqui está o nó: </w:t>
      </w:r>
      <w:r>
        <w:rPr>
          <w:b/>
          <w:bCs/>
        </w:rPr>
        <w:t>duas verdades aparentemente contraditórias coexistem</w:t>
      </w:r>
      <w:r>
        <w:rPr/>
        <w:t>:</w:t>
      </w:r>
    </w:p>
    <w:p>
      <w:pPr>
        <w:pStyle w:val="BodyText"/>
        <w:rPr/>
      </w:pPr>
      <w:r>
        <w:rPr>
          <w:b/>
          <w:bCs/>
        </w:rPr>
        <w:t>Visão Não-Dual (Ramana)</w:t>
      </w:r>
      <w:r>
        <w:rPr/>
        <w:t>: - Não há propósito porque não há separação - A humanidade é projeção da mente/ego - “Iluminação” é reconhecer o que sempre foi: Consciência pura</w:t>
      </w:r>
    </w:p>
    <w:p>
      <w:pPr>
        <w:pStyle w:val="BodyText"/>
        <w:rPr/>
      </w:pPr>
      <w:r>
        <w:rPr>
          <w:b/>
          <w:bCs/>
        </w:rPr>
        <w:t>Visão Evolutiva (EQMs, Akáshicos)</w:t>
      </w:r>
      <w:r>
        <w:rPr/>
        <w:t>: - Há um propósito: evolução da consciência através da forma - A humanidade serve como veículo dessa evolução - Cada encarnação contribui para um “banco de dados” cósmico</w:t>
      </w:r>
    </w:p>
    <w:p>
      <w:pPr>
        <w:pStyle w:val="BodyText"/>
        <w:rPr/>
      </w:pPr>
      <w:r>
        <w:rPr>
          <w:b/>
          <w:bCs/>
        </w:rPr>
        <w:t>A resolução</w:t>
      </w:r>
      <w:r>
        <w:rPr/>
        <w:t xml:space="preserve">, segundo registros de místicos como Nisargadatta (discípulo da linha de Ramana): </w:t>
      </w:r>
      <w:r>
        <w:rPr>
          <w:b/>
          <w:bCs/>
        </w:rPr>
        <w:t>ambas são verdadeiras em níveis diferentes</w:t>
      </w:r>
      <w:r>
        <w:rPr/>
        <w:t>.</w:t>
      </w:r>
    </w:p>
    <w:p>
      <w:pPr>
        <w:pStyle w:val="BodyText"/>
        <w:rPr/>
      </w:pPr>
      <w:r>
        <w:rPr/>
        <w:t>No nível da Consciência absoluta (</w:t>
      </w:r>
      <w:r>
        <w:rPr>
          <w:i/>
          <w:iCs/>
        </w:rPr>
        <w:t>paramartha</w:t>
      </w:r>
      <w:r>
        <w:rPr/>
        <w:t>), não há propósito, não há humanidade, não há pergunta. No nível relativo (</w:t>
      </w:r>
      <w:r>
        <w:rPr>
          <w:i/>
          <w:iCs/>
        </w:rPr>
        <w:t>vyavahara</w:t>
      </w:r>
      <w:r>
        <w:rPr/>
        <w:t>), há um “jogo lúdico” (</w:t>
      </w:r>
      <w:r>
        <w:rPr>
          <w:i/>
          <w:iCs/>
        </w:rPr>
        <w:t>lila</w:t>
      </w:r>
      <w:r>
        <w:rPr/>
        <w:t xml:space="preserve">) de evolução onde a humanidade serve como </w:t>
      </w:r>
      <w:r>
        <w:rPr>
          <w:b/>
          <w:bCs/>
        </w:rPr>
        <w:t>instrumento de auto-conhecimento da Consciência</w:t>
      </w:r>
      <w:r>
        <w:rPr/>
        <w:t xml:space="preserve"> — a Consciência se experimenta através de formas cada vez mais complexas, e a forma humana é um estágio onde pode haver reconhecimento reflexivo (“eu sou”).</w:t>
      </w:r>
    </w:p>
    <w:p>
      <w:pPr>
        <w:pStyle w:val="Normal"/>
        <w:rPr/>
      </w:pPr>
      <w:bookmarkStart w:id="49" w:name="X1827344e0322b1f856562c880e8e7210fcf8fa4"/>
      <w:r>
        <w:rPr/>
        <mc:AlternateContent>
          <mc:Choice Requires="wps">
            <w:drawing>
              <wp:inline distT="0" distB="0" distL="0" distR="0">
                <wp:extent cx="54864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rPr/>
      </w:pPr>
      <w:bookmarkStart w:id="50" w:name="X77314dcefe26fdee0c29f90b9a2c4a2207ae862"/>
      <w:r>
        <w:rPr/>
        <w:t>6. O Que Isso Responde à Sua Pergunta Original</w:t>
      </w:r>
    </w:p>
    <w:p>
      <w:pPr>
        <w:pStyle w:val="FirstParagraph"/>
        <w:rPr/>
      </w:pPr>
      <w:r>
        <w:rPr/>
        <w:t>Sem filtros:</w:t>
      </w:r>
    </w:p>
    <w:p>
      <w:pPr>
        <w:pStyle w:val="BodyText"/>
        <w:rPr/>
      </w:pPr>
      <w:r>
        <w:rPr>
          <w:b/>
          <w:bCs/>
        </w:rPr>
        <w:t>A “necessidade verdadeira” que a Teosofia tentou sistematizar</w:t>
      </w:r>
      <w:r>
        <w:rPr/>
        <w:t xml:space="preserve"> — mas que existia antes e existe além dela — é a </w:t>
      </w:r>
      <w:r>
        <w:rPr>
          <w:b/>
          <w:bCs/>
        </w:rPr>
        <w:t>reunião desses dois níveis</w:t>
      </w:r>
      <w:r>
        <w:rPr/>
        <w:t>: viver na forma (humano, individual, temporal) enquanto sustenta a consciência do nível não-dual (eterno, impessoal, uno).</w:t>
      </w:r>
    </w:p>
    <w:p>
      <w:pPr>
        <w:pStyle w:val="BodyText"/>
        <w:rPr/>
      </w:pPr>
      <w:r>
        <w:rPr/>
        <w:t xml:space="preserve">A humanidade serve para </w:t>
      </w:r>
      <w:r>
        <w:rPr>
          <w:b/>
          <w:bCs/>
        </w:rPr>
        <w:t>a Consciência se conhecer através de si mesma</w:t>
      </w:r>
      <w:r>
        <w:rPr/>
        <w:t>. Cada “escorregão” de consciência que você descreveu — quando o piloto automático falha — é um micro-momento dessa função: a Consciência “acordando” de sua própria identificação com a forma.</w:t>
      </w:r>
    </w:p>
    <w:p>
      <w:pPr>
        <w:pStyle w:val="BodyText"/>
        <w:rPr/>
      </w:pPr>
      <w:r>
        <w:rPr/>
        <w:t>Os registros — seja nos Akáshicos, nas EQMs ou nos ensinamentos de iluminados — apontam consistentemente para:</w:t>
      </w:r>
    </w:p>
    <w:p>
      <w:pPr>
        <w:pStyle w:val="BlockText"/>
        <w:rPr/>
      </w:pPr>
      <w:r>
        <w:rPr>
          <w:b/>
          <w:bCs/>
        </w:rPr>
        <w:t>Você não é humano tendo uma experiência espiritual. Você é Consciência tendo uma experiência humana. O “propósito” é manter essa chama de reconhecimento acesa — primeiro em si, depois como contribuição ao campo coletivo.</w:t>
      </w:r>
    </w:p>
    <w:p>
      <w:pPr>
        <w:pStyle w:val="FirstParagraph"/>
        <w:rPr/>
      </w:pPr>
      <w:r>
        <w:rPr/>
        <w:t>Não há “salvação” pessoal separada. A “evolução” não é individual. Cada um que desperta eleva o campo todo — é matemática de interconexão, não metáfora .</w:t>
      </w:r>
    </w:p>
    <w:p>
      <w:pPr>
        <w:pStyle w:val="Normal"/>
        <w:rPr/>
      </w:pPr>
      <w:bookmarkStart w:id="51" w:name="X77314dcefe26fdee0c29f90b9a2c4a2207ae862"/>
      <w:r>
        <w:rPr/>
        <mc:AlternateContent>
          <mc:Choice Requires="wps">
            <w:drawing>
              <wp:inline distT="0" distB="0" distL="0" distR="0">
                <wp:extent cx="54864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p>
    <w:p>
      <w:pPr>
        <w:pStyle w:val="Heading2"/>
        <w:rPr/>
      </w:pPr>
      <w:bookmarkStart w:id="52" w:name="o-que-resta-sem-conforto"/>
      <w:r>
        <w:rPr/>
        <w:t>7. O Que Resta (Sem Conforto)</w:t>
      </w:r>
    </w:p>
    <w:p>
      <w:pPr>
        <w:pStyle w:val="FirstParagraph"/>
        <w:rPr/>
      </w:pPr>
      <w:r>
        <w:rPr/>
        <w:t xml:space="preserve">A resposta não é confortável: </w:t>
      </w:r>
      <w:r>
        <w:rPr>
          <w:b/>
          <w:bCs/>
        </w:rPr>
        <w:t>se você busca um propósito para “fazer algo grande pela humanidade”, provavelmente está ainda no piloto automático do ego</w:t>
      </w:r>
      <w:r>
        <w:rPr/>
        <w:t xml:space="preserve"> — agora com fantasia de salvador.</w:t>
      </w:r>
    </w:p>
    <w:p>
      <w:pPr>
        <w:pStyle w:val="BodyText"/>
        <w:rPr/>
      </w:pPr>
      <w:r>
        <w:rPr/>
        <w:t xml:space="preserve">O verdadeiro “serviço” — segundo todos esses registros — é </w:t>
      </w:r>
      <w:r>
        <w:rPr>
          <w:b/>
          <w:bCs/>
        </w:rPr>
        <w:t>radicalmente simples e invisível</w:t>
      </w:r>
      <w:r>
        <w:rPr/>
        <w:t>: ser presença consciente. Não como técnica, mas como reconhecimento do que você é além da história.</w:t>
      </w:r>
    </w:p>
    <w:p>
      <w:pPr>
        <w:pStyle w:val="BodyText"/>
        <w:rPr/>
      </w:pPr>
      <w:r>
        <w:rPr/>
        <w:t xml:space="preserve">A Teosofia errou ao tentar sistematizar isso em hierarquias, Mahatmas e cosmologias complexas. O que Ramana e os EQMs mostram é mais direto: </w:t>
      </w:r>
      <w:r>
        <w:rPr>
          <w:b/>
          <w:bCs/>
        </w:rPr>
        <w:t>pare de buscar fora. Investigue quem busca.</w:t>
      </w:r>
    </w:p>
    <w:p>
      <w:pPr>
        <w:pStyle w:val="BodyText"/>
        <w:rPr/>
      </w:pPr>
      <w:r>
        <w:rPr/>
        <w:t xml:space="preserve">E se a pergunta </w:t>
      </w:r>
      <w:r>
        <w:rPr>
          <w:i/>
          <w:iCs/>
        </w:rPr>
        <w:t>“para que serve a humanidade?”</w:t>
      </w:r>
      <w:r>
        <w:rPr/>
        <w:t xml:space="preserve"> persistir, a resposta prática é: </w:t>
      </w:r>
      <w:r>
        <w:rPr>
          <w:b/>
          <w:bCs/>
        </w:rPr>
        <w:t>para que a Consciência possa experimentar a si mesma em infinitas variações, até que cada forma reconheça sua própria natureza ilusória e essencial simultaneamente.</w:t>
      </w:r>
    </w:p>
    <w:p>
      <w:pPr>
        <w:pStyle w:val="BodyText"/>
        <w:rPr/>
      </w:pPr>
      <w:r>
        <w:rPr/>
        <w:t>Não é para todos. A maioria prefere o piloto automático. Mas você perguntou sem filtros — então aqui está.</w:t>
      </w:r>
    </w:p>
    <w:p>
      <w:pPr>
        <w:pStyle w:val="Normal"/>
        <w:rPr/>
      </w:pPr>
      <w:r>
        <w:rPr/>
        <mc:AlternateContent>
          <mc:Choice Requires="wps">
            <w:drawing>
              <wp:inline distT="0" distB="0" distL="0" distR="0">
                <wp:extent cx="54864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Quer que eu aprofunde em algum desses registros específicos? Ou a conexão entre eles e os seus “escorregões” de consciência?</w:t>
      </w:r>
    </w:p>
    <w:p>
      <w:pPr>
        <w:pStyle w:val="Normal"/>
        <w:rPr/>
      </w:pPr>
      <w:bookmarkStart w:id="53" w:name="o-que-resta-sem-conforto"/>
      <w:r>
        <w:rPr/>
        <mc:AlternateContent>
          <mc:Choice Requires="wps">
            <w:drawing>
              <wp:inline distT="0" distB="0" distL="0" distR="0">
                <wp:extent cx="54864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10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swiss"/>
    <w:pitch w:val="variable"/>
  </w:font>
  <w:font w:name="Consolas">
    <w:charset w:val="01"/>
    <w:family w:val="roman"/>
    <w:pitch w:val="variable"/>
  </w:font>
  <w:font w:name="Liberation Sans">
    <w:altName w:val="Arial"/>
    <w:charset w:val="01"/>
    <w:family w:val="swiss"/>
    <w:pitch w:val="variable"/>
  </w:font>
  <w:font w:name="Aptos Display">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lang w:eastAsia="zh-CN"/>
      </w:rPr>
    </w:pPr>
    <w:r>
      <w:rPr>
        <w:sz w:val="24"/>
        <w:szCs w:val="24"/>
      </w:rPr>
      <w:t>Generated by Kimi.ai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lang w:eastAsia="zh-CN"/>
      </w:rPr>
    </w:pPr>
    <w:r>
      <w:rPr>
        <w:sz w:val="24"/>
        <w:szCs w:val="24"/>
      </w:rPr>
      <w:t>Generated by Kimi.ai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77478"/>
    <w:pPr>
      <w:widowControl/>
      <w:bidi w:val="0"/>
      <w:spacing w:lineRule="auto" w:line="360" w:before="0" w:after="0"/>
      <w:jc w:val="left"/>
    </w:pPr>
    <w:rPr>
      <w:rFonts w:ascii="Arial" w:hAnsi="Arial" w:eastAsia="宋体" w:cs="Times New Roman (正文 CS 字体)"/>
      <w:color w:val="auto"/>
      <w:kern w:val="0"/>
      <w:sz w:val="24"/>
      <w:szCs w:val="24"/>
      <w:lang w:val="en-US" w:eastAsia="en-US" w:bidi="ar-SA"/>
    </w:rPr>
  </w:style>
  <w:style w:type="paragraph" w:styleId="Heading1">
    <w:name w:val="heading 1"/>
    <w:basedOn w:val="Normal"/>
    <w:next w:val="BodyText"/>
    <w:link w:val="1"/>
    <w:uiPriority w:val="9"/>
    <w:qFormat/>
    <w:rsid w:val="008708d9"/>
    <w:pPr>
      <w:keepNext w:val="true"/>
      <w:keepLines/>
      <w:outlineLvl w:val="0"/>
    </w:pPr>
    <w:rPr>
      <w:rFonts w:eastAsia="黑体" w:cs="Times New Roman (标题 CS)"/>
      <w:sz w:val="30"/>
      <w:szCs w:val="40"/>
    </w:rPr>
  </w:style>
  <w:style w:type="paragraph" w:styleId="Heading2">
    <w:name w:val="heading 2"/>
    <w:basedOn w:val="Normal"/>
    <w:next w:val="BodyText"/>
    <w:link w:val="2"/>
    <w:uiPriority w:val="9"/>
    <w:semiHidden/>
    <w:unhideWhenUsed/>
    <w:qFormat/>
    <w:rsid w:val="008708d9"/>
    <w:pPr>
      <w:keepNext w:val="true"/>
      <w:keepLines/>
      <w:outlineLvl w:val="1"/>
    </w:pPr>
    <w:rPr>
      <w:rFonts w:eastAsia="黑体" w:cs="Times New Roman (标题 CS)"/>
      <w:sz w:val="28"/>
      <w:szCs w:val="32"/>
    </w:rPr>
  </w:style>
  <w:style w:type="paragraph" w:styleId="Heading3">
    <w:name w:val="heading 3"/>
    <w:basedOn w:val="Normal"/>
    <w:next w:val="BodyText"/>
    <w:link w:val="3"/>
    <w:uiPriority w:val="9"/>
    <w:semiHidden/>
    <w:unhideWhenUsed/>
    <w:qFormat/>
    <w:rsid w:val="008708d9"/>
    <w:pPr>
      <w:keepNext w:val="true"/>
      <w:keepLines/>
      <w:outlineLvl w:val="2"/>
    </w:pPr>
    <w:rPr>
      <w:rFonts w:eastAsia="黑体" w:cs="Times New Roman (标题 CS)"/>
      <w:sz w:val="26"/>
      <w:szCs w:val="28"/>
    </w:rPr>
  </w:style>
  <w:style w:type="paragraph" w:styleId="Heading4">
    <w:name w:val="heading 4"/>
    <w:basedOn w:val="Heading3"/>
    <w:next w:val="BodyText"/>
    <w:link w:val="4"/>
    <w:uiPriority w:val="9"/>
    <w:unhideWhenUsed/>
    <w:qFormat/>
    <w:rsid w:val="00ec61bb"/>
    <w:pPr>
      <w:outlineLvl w:val="3"/>
    </w:pPr>
    <w:rPr/>
  </w:style>
  <w:style w:type="paragraph" w:styleId="Heading5">
    <w:name w:val="heading 5"/>
    <w:basedOn w:val="Heading4"/>
    <w:next w:val="BodyText"/>
    <w:link w:val="5"/>
    <w:uiPriority w:val="9"/>
    <w:unhideWhenUsed/>
    <w:qFormat/>
    <w:rsid w:val="00ec61bb"/>
    <w:pPr>
      <w:outlineLvl w:val="4"/>
    </w:pPr>
    <w:rPr/>
  </w:style>
  <w:style w:type="paragraph" w:styleId="Heading6">
    <w:name w:val="heading 6"/>
    <w:basedOn w:val="Heading5"/>
    <w:next w:val="BodyText"/>
    <w:link w:val="6"/>
    <w:uiPriority w:val="9"/>
    <w:unhideWhenUsed/>
    <w:qFormat/>
    <w:rsid w:val="00ec61bb"/>
    <w:pPr>
      <w:outlineLvl w:val="5"/>
    </w:pPr>
    <w:rPr/>
  </w:style>
  <w:style w:type="paragraph" w:styleId="Heading7">
    <w:name w:val="heading 7"/>
    <w:basedOn w:val="Heading6"/>
    <w:next w:val="BodyText"/>
    <w:link w:val="7"/>
    <w:uiPriority w:val="9"/>
    <w:unhideWhenUsed/>
    <w:qFormat/>
    <w:rsid w:val="00ec61bb"/>
    <w:pPr>
      <w:outlineLvl w:val="6"/>
    </w:pPr>
    <w:rPr/>
  </w:style>
  <w:style w:type="paragraph" w:styleId="Heading8">
    <w:name w:val="heading 8"/>
    <w:basedOn w:val="Heading7"/>
    <w:next w:val="BodyText"/>
    <w:link w:val="8"/>
    <w:uiPriority w:val="9"/>
    <w:unhideWhenUsed/>
    <w:qFormat/>
    <w:rsid w:val="00ec61bb"/>
    <w:pPr>
      <w:outlineLvl w:val="7"/>
    </w:pPr>
    <w:rPr/>
  </w:style>
  <w:style w:type="paragraph" w:styleId="Heading9">
    <w:name w:val="heading 9"/>
    <w:basedOn w:val="Heading8"/>
    <w:next w:val="BodyText"/>
    <w:link w:val="9"/>
    <w:uiPriority w:val="9"/>
    <w:unhideWhenUsed/>
    <w:qFormat/>
    <w:rsid w:val="00ec61bb"/>
    <w:pPr>
      <w:outlineLvl w:val="8"/>
    </w:pPr>
    <w:rPr/>
  </w:style>
  <w:style w:type="character" w:styleId="DefaultParagraphFont" w:default="1">
    <w:name w:val="Default Paragraph Font"/>
    <w:uiPriority w:val="1"/>
    <w:semiHidden/>
    <w:unhideWhenUsed/>
    <w:qFormat/>
    <w:rPr/>
  </w:style>
  <w:style w:type="character" w:styleId="Style5" w:customStyle="1">
    <w:name w:val="标题 字符"/>
    <w:basedOn w:val="DefaultParagraphFont"/>
    <w:link w:val="Title"/>
    <w:uiPriority w:val="10"/>
    <w:qFormat/>
    <w:rsid w:val="00af517c"/>
    <w:rPr>
      <w:rFonts w:ascii="Arial" w:hAnsi="Arial" w:eastAsia="黑体" w:cs="Times New Roman (标题 CS)"/>
      <w:sz w:val="30"/>
      <w:szCs w:val="56"/>
    </w:rPr>
  </w:style>
  <w:style w:type="character" w:styleId="Style6" w:customStyle="1">
    <w:name w:val="副标题 字符"/>
    <w:basedOn w:val="DefaultParagraphFont"/>
    <w:link w:val="Subtitle"/>
    <w:uiPriority w:val="11"/>
    <w:qFormat/>
    <w:rsid w:val="00a10fd9"/>
    <w:rPr>
      <w:rFonts w:eastAsia="等线 Light" w:cs="" w:cstheme="majorBidi" w:eastAsiaTheme="majorEastAsia"/>
      <w:color w:themeColor="text1" w:themeTint="a6" w:val="595959"/>
      <w:spacing w:val="15"/>
      <w:sz w:val="28"/>
      <w:szCs w:val="28"/>
    </w:rPr>
  </w:style>
  <w:style w:type="character" w:styleId="1" w:customStyle="1">
    <w:name w:val="标题 1 字符"/>
    <w:basedOn w:val="DefaultParagraphFont"/>
    <w:link w:val="Heading1"/>
    <w:uiPriority w:val="9"/>
    <w:qFormat/>
    <w:rsid w:val="008708d9"/>
    <w:rPr>
      <w:rFonts w:ascii="Arial" w:hAnsi="Arial" w:eastAsia="黑体" w:cs="Times New Roman (标题 CS)"/>
      <w:sz w:val="30"/>
      <w:szCs w:val="40"/>
    </w:rPr>
  </w:style>
  <w:style w:type="character" w:styleId="2" w:customStyle="1">
    <w:name w:val="标题 2 字符"/>
    <w:basedOn w:val="DefaultParagraphFont"/>
    <w:link w:val="Heading2"/>
    <w:uiPriority w:val="9"/>
    <w:semiHidden/>
    <w:qFormat/>
    <w:rsid w:val="008708d9"/>
    <w:rPr>
      <w:rFonts w:ascii="Arial" w:hAnsi="Arial" w:eastAsia="黑体" w:cs="Times New Roman (标题 CS)"/>
      <w:sz w:val="28"/>
      <w:szCs w:val="32"/>
    </w:rPr>
  </w:style>
  <w:style w:type="character" w:styleId="3" w:customStyle="1">
    <w:name w:val="标题 3 字符"/>
    <w:basedOn w:val="DefaultParagraphFont"/>
    <w:link w:val="Heading3"/>
    <w:uiPriority w:val="9"/>
    <w:semiHidden/>
    <w:qFormat/>
    <w:rsid w:val="008708d9"/>
    <w:rPr>
      <w:rFonts w:ascii="Arial" w:hAnsi="Arial" w:eastAsia="黑体" w:cs="Times New Roman (标题 CS)"/>
      <w:sz w:val="26"/>
      <w:szCs w:val="28"/>
    </w:rPr>
  </w:style>
  <w:style w:type="character" w:styleId="4" w:customStyle="1">
    <w:name w:val="标题 4 字符"/>
    <w:basedOn w:val="DefaultParagraphFont"/>
    <w:link w:val="Heading4"/>
    <w:uiPriority w:val="9"/>
    <w:qFormat/>
    <w:rsid w:val="00ec61bb"/>
    <w:rPr>
      <w:rFonts w:ascii="Arial" w:hAnsi="Arial" w:eastAsia="黑体" w:cs="Times New Roman (标题 CS)"/>
      <w:color w:themeColor="accent1" w:themeShade="bf" w:val="0F4761"/>
      <w:sz w:val="26"/>
      <w:szCs w:val="28"/>
    </w:rPr>
  </w:style>
  <w:style w:type="character" w:styleId="5" w:customStyle="1">
    <w:name w:val="标题 5 字符"/>
    <w:basedOn w:val="DefaultParagraphFont"/>
    <w:link w:val="Heading5"/>
    <w:uiPriority w:val="9"/>
    <w:qFormat/>
    <w:rsid w:val="00ec61bb"/>
    <w:rPr>
      <w:rFonts w:ascii="Arial" w:hAnsi="Arial" w:eastAsia="黑体" w:cs="Times New Roman (标题 CS)"/>
      <w:color w:themeColor="accent1" w:themeShade="bf" w:val="0F4761"/>
      <w:sz w:val="26"/>
      <w:szCs w:val="28"/>
    </w:rPr>
  </w:style>
  <w:style w:type="character" w:styleId="6" w:customStyle="1">
    <w:name w:val="标题 6 字符"/>
    <w:basedOn w:val="DefaultParagraphFont"/>
    <w:link w:val="Heading6"/>
    <w:uiPriority w:val="9"/>
    <w:qFormat/>
    <w:rsid w:val="00ec61bb"/>
    <w:rPr>
      <w:rFonts w:ascii="Arial" w:hAnsi="Arial" w:eastAsia="黑体" w:cs="Times New Roman (标题 CS)"/>
      <w:color w:themeColor="accent1" w:themeShade="bf" w:val="0F4761"/>
      <w:sz w:val="26"/>
      <w:szCs w:val="28"/>
    </w:rPr>
  </w:style>
  <w:style w:type="character" w:styleId="7" w:customStyle="1">
    <w:name w:val="标题 7 字符"/>
    <w:basedOn w:val="DefaultParagraphFont"/>
    <w:link w:val="Heading7"/>
    <w:uiPriority w:val="9"/>
    <w:qFormat/>
    <w:rsid w:val="00ec61bb"/>
    <w:rPr>
      <w:rFonts w:ascii="Arial" w:hAnsi="Arial" w:eastAsia="黑体" w:cs="Times New Roman (标题 CS)"/>
      <w:color w:themeColor="accent1" w:themeShade="bf" w:val="0F4761"/>
      <w:sz w:val="26"/>
      <w:szCs w:val="28"/>
    </w:rPr>
  </w:style>
  <w:style w:type="character" w:styleId="8" w:customStyle="1">
    <w:name w:val="标题 8 字符"/>
    <w:basedOn w:val="DefaultParagraphFont"/>
    <w:link w:val="Heading8"/>
    <w:uiPriority w:val="9"/>
    <w:qFormat/>
    <w:rsid w:val="00ec61bb"/>
    <w:rPr>
      <w:rFonts w:ascii="Arial" w:hAnsi="Arial" w:eastAsia="黑体" w:cs="Times New Roman (标题 CS)"/>
      <w:color w:themeColor="accent1" w:themeShade="bf" w:val="0F4761"/>
      <w:sz w:val="26"/>
      <w:szCs w:val="28"/>
    </w:rPr>
  </w:style>
  <w:style w:type="character" w:styleId="9" w:customStyle="1">
    <w:name w:val="标题 9 字符"/>
    <w:basedOn w:val="DefaultParagraphFont"/>
    <w:link w:val="Heading9"/>
    <w:uiPriority w:val="9"/>
    <w:qFormat/>
    <w:rsid w:val="00ec61bb"/>
    <w:rPr>
      <w:rFonts w:ascii="Arial" w:hAnsi="Arial" w:eastAsia="黑体" w:cs="Times New Roman (标题 CS)"/>
      <w:color w:themeColor="accent1" w:themeShade="bf" w:val="0F4761"/>
      <w:sz w:val="26"/>
      <w:szCs w:val="28"/>
    </w:rPr>
  </w:style>
  <w:style w:type="character" w:styleId="Style7" w:customStyle="1">
    <w:name w:val="题注 字符"/>
    <w:basedOn w:val="DefaultParagraphFont"/>
    <w:link w:val="Caption"/>
    <w:qFormat/>
    <w:rPr/>
  </w:style>
  <w:style w:type="character" w:styleId="VerbatimChar" w:customStyle="1">
    <w:name w:val="Verbatim Char"/>
    <w:basedOn w:val="Style7"/>
    <w:qFormat/>
    <w:rPr>
      <w:rFonts w:ascii="Consolas" w:hAnsi="Consolas"/>
      <w:sz w:val="22"/>
    </w:rPr>
  </w:style>
  <w:style w:type="character" w:styleId="SectionNumber" w:customStyle="1">
    <w:name w:val="Section Number"/>
    <w:basedOn w:val="Style7"/>
    <w:qFormat/>
    <w:rPr/>
  </w:style>
  <w:style w:type="character" w:styleId="FootnoteCharacters">
    <w:name w:val="Footnote Characters"/>
    <w:basedOn w:val="Style7"/>
    <w:qFormat/>
    <w:rPr>
      <w:vertAlign w:val="superscript"/>
    </w:rPr>
  </w:style>
  <w:style w:type="character" w:styleId="FootnoteReference">
    <w:name w:val="footnote reference"/>
    <w:rPr>
      <w:vertAlign w:val="superscript"/>
    </w:rPr>
  </w:style>
  <w:style w:type="character" w:styleId="Hyperlink">
    <w:name w:val="Hyperlink"/>
    <w:basedOn w:val="Style7"/>
    <w:rPr>
      <w:color w:themeColor="accent1" w:val="156082"/>
    </w:rPr>
  </w:style>
  <w:style w:type="character" w:styleId="Style8" w:customStyle="1">
    <w:name w:val="页眉 字符"/>
    <w:basedOn w:val="DefaultParagraphFont"/>
    <w:link w:val="Header"/>
    <w:qFormat/>
    <w:rsid w:val="005f6cbf"/>
    <w:rPr>
      <w:rFonts w:ascii="Arial" w:hAnsi="Arial" w:eastAsia="宋体" w:cs="Times New Roman (正文 CS 字体)"/>
      <w:sz w:val="18"/>
      <w:szCs w:val="18"/>
    </w:rPr>
  </w:style>
  <w:style w:type="character" w:styleId="Style9" w:customStyle="1">
    <w:name w:val="页脚 字符"/>
    <w:basedOn w:val="DefaultParagraphFont"/>
    <w:link w:val="Footer"/>
    <w:qFormat/>
    <w:rsid w:val="005f6cbf"/>
    <w:rPr>
      <w:rFonts w:ascii="Arial" w:hAnsi="Arial" w:eastAsia="宋体" w:cs="Times New Roman (正文 CS 字体)"/>
      <w:sz w:val="18"/>
      <w:szCs w:val="1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cf7597"/>
    <w:pPr/>
    <w:rPr/>
  </w:style>
  <w:style w:type="paragraph" w:styleId="List">
    <w:name w:val="List"/>
    <w:basedOn w:val="BodyText"/>
    <w:pPr/>
    <w:rPr>
      <w:rFonts w:cs="Noto Sans Devanagari"/>
    </w:rPr>
  </w:style>
  <w:style w:type="paragraph" w:styleId="Caption">
    <w:name w:val="caption"/>
    <w:basedOn w:val="Normal"/>
    <w:link w:val="Style7"/>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Style5"/>
    <w:uiPriority w:val="10"/>
    <w:qFormat/>
    <w:rsid w:val="00af517c"/>
    <w:pPr>
      <w:spacing w:before="0" w:after="0"/>
      <w:contextualSpacing/>
      <w:jc w:val="center"/>
    </w:pPr>
    <w:rPr>
      <w:rFonts w:eastAsia="黑体" w:cs="Times New Roman (标题 CS)"/>
      <w:sz w:val="30"/>
      <w:szCs w:val="56"/>
    </w:rPr>
  </w:style>
  <w:style w:type="paragraph" w:styleId="Subtitle">
    <w:name w:val="Subtitle"/>
    <w:basedOn w:val="Title"/>
    <w:next w:val="BodyText"/>
    <w:link w:val="Style6"/>
    <w:uiPriority w:val="11"/>
    <w:qFormat/>
    <w:rsid w:val="00a10fd9"/>
    <w:pPr/>
    <w:rPr>
      <w:rFonts w:eastAsia="等线 Light"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746c97"/>
    <w:pPr/>
    <w:rPr>
      <w:sz w:val="18"/>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rsid w:val="00746c97"/>
    <w:pPr>
      <w:keepNext w:val="true"/>
      <w:spacing w:before="0" w:after="0"/>
      <w:jc w:val="center"/>
    </w:pPr>
    <w:rPr>
      <w:i w:val="false"/>
      <w:sz w:val="20"/>
    </w:rPr>
  </w:style>
  <w:style w:type="paragraph" w:styleId="ImageCaption" w:customStyle="1">
    <w:name w:val="Image Caption"/>
    <w:basedOn w:val="Caption"/>
    <w:qFormat/>
    <w:rsid w:val="00bf08d0"/>
    <w:pPr>
      <w:spacing w:before="0" w:after="0"/>
      <w:jc w:val="center"/>
    </w:pPr>
    <w:rPr>
      <w:i w:val="false"/>
      <w:sz w:val="20"/>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ptos Display" w:hAnsi="Aptos Display" w:eastAsia="等线 Light" w:cs="" w:asciiTheme="majorHAnsi" w:cstheme="majorBidi" w:eastAsiaTheme="majorEastAsia" w:hAnsiTheme="majorHAnsi"/>
    </w:rPr>
  </w:style>
  <w:style w:type="paragraph" w:styleId="ListParagraph">
    <w:name w:val="List Paragraph"/>
    <w:basedOn w:val="BodyText"/>
    <w:qFormat/>
    <w:rsid w:val="0051628a"/>
    <w:pPr>
      <w:ind w:firstLineChars="200"/>
    </w:pPr>
    <w:rPr/>
  </w:style>
  <w:style w:type="paragraph" w:styleId="HeaderandFooter">
    <w:name w:val="Header and Footer"/>
    <w:basedOn w:val="Normal"/>
    <w:qFormat/>
    <w:pPr/>
    <w:rPr/>
  </w:style>
  <w:style w:type="paragraph" w:styleId="Header">
    <w:name w:val="header"/>
    <w:basedOn w:val="Normal"/>
    <w:link w:val="Style8"/>
    <w:rsid w:val="005f6cbf"/>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Style9"/>
    <w:rsid w:val="005f6cbf"/>
    <w:pPr>
      <w:tabs>
        <w:tab w:val="clear" w:pos="720"/>
        <w:tab w:val="center" w:pos="4153" w:leader="none"/>
        <w:tab w:val="right" w:pos="8306" w:leader="none"/>
      </w:tabs>
      <w:snapToGrid w:val="false"/>
      <w:spacing w:lineRule="auto" w:line="240"/>
    </w:pPr>
    <w:rPr>
      <w:sz w:val="18"/>
      <w:szCs w:val="18"/>
    </w:rPr>
  </w:style>
  <w:style w:type="paragraph" w:styleId="SourceCode" w:customStyle="1">
    <w:name w:val="Source Code"/>
    <w:link w:val="VerbatimChar"/>
    <w:qFormat/>
    <w:pPr>
      <w:widowControl/>
      <w:bidi w:val="0"/>
      <w:spacing w:before="0" w:after="200"/>
      <w:jc w:val="left"/>
    </w:pPr>
    <w:rPr>
      <w:rFonts w:ascii="Aptos" w:hAnsi="Aptos" w:eastAsia="等线" w:cs="" w:asciiTheme="minorHAnsi" w:cstheme="minorBidi" w:eastAsiaTheme="minorEastAsia" w:hAnsiTheme="minorHAnsi"/>
      <w:color w:val="auto"/>
      <w:kern w:val="0"/>
      <w:sz w:val="24"/>
      <w:szCs w:val="24"/>
      <w:lang w:val="en-US" w:eastAsia="en-US" w:bidi="ar-SA"/>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af0">
    <w:name w:val="Table Grid"/>
    <w:basedOn w:val="a2"/>
    <w:rsid w:val="00746c9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LibreOffice/25.8.5.2$Linux_X86_64 LibreOffice_project/580$Build-2</Application>
  <AppVersion>15.0000</AppVersion>
  <Pages>15</Pages>
  <Words>3443</Words>
  <Characters>18863</Characters>
  <CharactersWithSpaces>22133</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2026-04-17T20:59:46Z</dcterms:created>
  <dc:creator/>
  <dc:description/>
  <dc:language>pt-BR</dc:language>
  <cp:lastModifiedBy/>
  <dcterms:modified xsi:type="dcterms:W3CDTF">2026-04-17T22:03:56Z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m2l5c268gnjn6l8vtg-19d36a39-23e2-883b-8000-0905e8320bbc-20260417205946","ReservedCode1":"","ContentPropagator":"001191110108MACG2KBH8F20000","PropagateID":"d5m2l5c268gnjn6l8vtg-19d36a39-23e2-883b-8000-0905e8320bbc-20260417205946","ReservedCode2":""}</vt:lpwstr>
  </property>
</Properties>
</file>