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4" w:name="investment-memo-aalo-atomics"/>
    <w:p>
      <w:pPr>
        <w:pStyle w:val="Heading1"/>
      </w:pPr>
      <w:r>
        <w:t xml:space="preserve">Investment Memo: Aalo Atomics</w:t>
      </w:r>
    </w:p>
    <w:bookmarkStart w:id="9" w:name="company-aalo-atomics"/>
    <w:p>
      <w:pPr>
        <w:pStyle w:val="Heading2"/>
      </w:pPr>
      <w:r>
        <w:t xml:space="preserve">Company: Aalo Atomics</w:t>
      </w:r>
    </w:p>
    <w:p>
      <w:pPr>
        <w:pStyle w:val="FirstParagraph"/>
      </w:pPr>
      <w:r>
        <w:rPr>
          <w:b/>
          <w:bCs/>
        </w:rPr>
        <w:t xml:space="preserve">Stage</w:t>
      </w:r>
      <w:r>
        <w:t xml:space="preserve">: Series B (Completed)</w:t>
      </w:r>
      <w:r>
        <w:t xml:space="preserve"> </w:t>
      </w:r>
      <w:r>
        <w:rPr>
          <w:b/>
          <w:bCs/>
        </w:rPr>
        <w:t xml:space="preserve">Location</w:t>
      </w:r>
      <w:r>
        <w:t xml:space="preserve">: Austin, Texas</w:t>
      </w:r>
      <w:r>
        <w:t xml:space="preserve"> </w:t>
      </w:r>
      <w:r>
        <w:rPr>
          <w:b/>
          <w:bCs/>
        </w:rPr>
        <w:t xml:space="preserve">Website</w:t>
      </w:r>
      <w:r>
        <w:t xml:space="preserve">: https://www.aalo.com</w:t>
      </w:r>
      <w:r>
        <w:t xml:space="preserve"> </w:t>
      </w:r>
      <w:r>
        <w:rPr>
          <w:b/>
          <w:bCs/>
        </w:rPr>
        <w:t xml:space="preserve">Date</w:t>
      </w:r>
      <w:r>
        <w:t xml:space="preserve">: November 2024</w:t>
      </w:r>
    </w:p>
    <w:p>
      <w:r>
        <w:pict>
          <v:rect style="width:0;height:1.5pt" o:hralign="center" o:hrstd="t" o:hr="t"/>
        </w:pict>
      </w:r>
    </w:p>
    <w:bookmarkEnd w:id="9"/>
    <w:bookmarkStart w:id="27" w:name="executive-summary"/>
    <w:p>
      <w:pPr>
        <w:pStyle w:val="Heading2"/>
      </w:pPr>
      <w:r>
        <w:t xml:space="preserve">1. Executive Summary</w:t>
      </w:r>
    </w:p>
    <w:p>
      <w:pPr>
        <w:pStyle w:val="FirstParagraph"/>
      </w:pPr>
      <w:r>
        <w:t xml:space="preserve">Aalo Atomics is developing Extra Modular Reactors (XMR) - factory-manufactured nuclear plants specifically designed for AI data center power needs. Founded in 2023 by Matt Loszak (former Director of Energy at Microsoft, Google, and Amazon) and Yasir Arafat (INL MARVEL program veteran), the company has moved with exceptional speed from founding to regulatory engagement with the NRC and DOE authorization pursuit</w:t>
      </w:r>
      <w:r>
        <w:rPr>
          <w:rStyle w:val="FootnoteReference"/>
        </w:rPr>
        <w:footnoteReference w:id="10"/>
      </w:r>
      <w:r>
        <w:rPr>
          <w:rStyle w:val="FootnoteReference"/>
        </w:rPr>
        <w:footnoteReference w:id="12"/>
      </w:r>
      <w:r>
        <w:t xml:space="preserve">.</w:t>
      </w:r>
    </w:p>
    <w:p>
      <w:pPr>
        <w:pStyle w:val="BodyText"/>
      </w:pPr>
      <w:r>
        <w:t xml:space="preserve">The company recently closed a $100M Series B led by Valor Equity Partners (backers of Tesla and SpaceX), bringing total funding to $136M+ across three rounds</w:t>
      </w:r>
      <w:r>
        <w:rPr>
          <w:rStyle w:val="FootnoteReference"/>
        </w:rPr>
        <w:footnoteReference w:id="14"/>
      </w:r>
      <w:r>
        <w:rPr>
          <w:rStyle w:val="FootnoteReference"/>
        </w:rPr>
        <w:footnoteReference w:id="16"/>
      </w:r>
      <w:r>
        <w:rPr>
          <w:rStyle w:val="FootnoteReference"/>
        </w:rPr>
        <w:footnoteReference w:id="18"/>
      </w:r>
      <w:r>
        <w:rPr>
          <w:rStyle w:val="FootnoteReference"/>
        </w:rPr>
        <w:footnoteReference w:id="19"/>
      </w:r>
      <w:r>
        <w:rPr>
          <w:rStyle w:val="FootnoteReference"/>
        </w:rPr>
        <w:footnoteReference w:id="21"/>
      </w:r>
      <w:r>
        <w:t xml:space="preserve">. Key de-risking milestones include: DOE selection for the Nuclear Reactor Pilot Program, NRC pre-licensing phase entry (July 2024), signed MOU with Idaho Falls Power for seven commercial reactors, and Preliminary Design Review completion for their Aalo-X experimental reactor targeting criticality by summer 2026</w:t>
      </w:r>
      <w:r>
        <w:rPr>
          <w:rStyle w:val="FootnoteReference"/>
        </w:rPr>
        <w:footnoteReference w:id="23"/>
      </w:r>
      <w:r>
        <w:rPr>
          <w:rStyle w:val="FootnoteReference"/>
        </w:rPr>
        <w:footnoteReference w:id="24"/>
      </w:r>
      <w:r>
        <w:rPr>
          <w:rStyle w:val="FootnoteReference"/>
        </w:rPr>
        <w:footnoteReference w:id="25"/>
      </w:r>
      <w:r>
        <w:t xml:space="preserve">.</w:t>
      </w:r>
    </w:p>
    <w:p>
      <w:pPr>
        <w:pStyle w:val="BodyText"/>
      </w:pPr>
      <w:r>
        <w:t xml:space="preserve">The investment thesis centers on timing convergence: hyperscalers’ urgent need for reliable data center power, supportive regulatory environment (recent Presidential Executive Orders, state legislation), and a team uniquely positioned at the intersection of big tech energy procurement and advanced nuclear engineering. Primary risks include regulatory approval uncertainty (NRC commercial licensing historically 5-7 years), technical execution on aggressive timeline, and competition from both established nuclear vendors and emerging SMR companies. The Series B is already closed, but the company represents a strong reference case for future nuclear infrastructure investments.</w:t>
      </w:r>
    </w:p>
    <w:p>
      <w:r>
        <w:pict>
          <v:rect style="width:0;height:1.5pt" o:hralign="center" o:hrstd="t" o:hr="t"/>
        </w:pict>
      </w:r>
    </w:p>
    <w:bookmarkEnd w:id="27"/>
    <w:bookmarkStart w:id="39" w:name="business-overview"/>
    <w:p>
      <w:pPr>
        <w:pStyle w:val="Heading2"/>
      </w:pPr>
      <w:r>
        <w:t xml:space="preserve">2. Business Overview</w:t>
      </w:r>
    </w:p>
    <w:p>
      <w:pPr>
        <w:pStyle w:val="FirstParagraph"/>
      </w:pPr>
      <w:r>
        <w:rPr>
          <w:b/>
          <w:bCs/>
        </w:rPr>
        <w:t xml:space="preserve">What they do</w:t>
      </w:r>
      <w:r>
        <w:t xml:space="preserve">: Aalo Atomics designs and manufactures fully modular nuclear reactors (XMR - Extra Modular Reactor) purpose-built to power AI data centers, with factory production enabling 12-month delivery timelines</w:t>
      </w:r>
      <w:r>
        <w:rPr>
          <w:rStyle w:val="FootnoteReference"/>
        </w:rPr>
        <w:footnoteReference w:id="28"/>
      </w:r>
      <w:r>
        <w:rPr>
          <w:rStyle w:val="FootnoteReference"/>
        </w:rPr>
        <w:footnoteReference w:id="29"/>
      </w:r>
      <w:r>
        <w:rPr>
          <w:rStyle w:val="FootnoteReference"/>
        </w:rPr>
        <w:footnoteReference w:id="30"/>
      </w:r>
      <w:r>
        <w:t xml:space="preserve">.</w:t>
      </w:r>
    </w:p>
    <w:p>
      <w:pPr>
        <w:pStyle w:val="BodyText"/>
      </w:pPr>
      <w:r>
        <w:rPr>
          <w:b/>
          <w:bCs/>
        </w:rPr>
        <w:t xml:space="preserve">Problem they solve</w:t>
      </w:r>
      <w:r>
        <w:t xml:space="preserve">: AI data centers face acute power constraints as compute demands surge. Traditional grid connections require 3-5 year lead times and face capacity limitations. Existing nuclear solutions (large reactors, early-stage SMRs) are either too large, too slow to deploy, or unproven at commercial scale. Hyperscalers need reliable, carbon-free baseload power that can be deployed on data center timescales, not utility timescales</w:t>
      </w:r>
      <w:r>
        <w:rPr>
          <w:rStyle w:val="FootnoteReference"/>
        </w:rPr>
        <w:footnoteReference w:id="31"/>
      </w:r>
      <w:r>
        <w:rPr>
          <w:rStyle w:val="FootnoteReference"/>
        </w:rPr>
        <w:footnoteReference w:id="32"/>
      </w:r>
      <w:r>
        <w:t xml:space="preserve">.</w:t>
      </w:r>
    </w:p>
    <w:p>
      <w:pPr>
        <w:pStyle w:val="BodyText"/>
      </w:pPr>
      <w:r>
        <w:rPr>
          <w:b/>
          <w:bCs/>
        </w:rPr>
        <w:t xml:space="preserve">Solution approach</w:t>
      </w:r>
      <w:r>
        <w:t xml:space="preserve">: Aalo’s XMR technology produces up to 10x more energy than comparable physical size nuclear systems through advanced reactor design. The Aalo Pod (50 MWe) is specifically sized for data center applications and manufactured in factories using mass-production principles rather than on-site construction. The company uses readily available uranium fuel forms, avoiding exotic fuel supply chain dependencies that plague some advanced reactor designs</w:t>
      </w:r>
      <w:r>
        <w:rPr>
          <w:rStyle w:val="FootnoteReference"/>
        </w:rPr>
        <w:footnoteReference w:id="33"/>
      </w:r>
      <w:r>
        <w:rPr>
          <w:rStyle w:val="FootnoteReference"/>
        </w:rPr>
        <w:footnoteReference w:id="34"/>
      </w:r>
      <w:r>
        <w:rPr>
          <w:rStyle w:val="FootnoteReference"/>
        </w:rPr>
        <w:footnoteReference w:id="35"/>
      </w:r>
      <w:r>
        <w:t xml:space="preserve">.</w:t>
      </w:r>
    </w:p>
    <w:p>
      <w:pPr>
        <w:pStyle w:val="BodyText"/>
      </w:pPr>
      <w:r>
        <w:rPr>
          <w:b/>
          <w:bCs/>
        </w:rPr>
        <w:t xml:space="preserve">Business model</w:t>
      </w:r>
      <w:r>
        <w:t xml:space="preserve">: Direct sales of modular reactor units to data center operators and utilities, with initial focus on 50 MWe Aalo Pod units. The Idaho Falls Power MOU indicates fleet deployment model with potential 80-year operational relationships. Revenue model likely combines upfront equipment sales with long-term service contracts, though specific pricing and unit economics are not publicly disclosed. The 12-month delivery timeline from order to deployment represents significant competitive advantage over 5-7 year traditional nuclear project timelines</w:t>
      </w:r>
      <w:r>
        <w:rPr>
          <w:rStyle w:val="FootnoteReference"/>
        </w:rPr>
        <w:footnoteReference w:id="36"/>
      </w:r>
      <w:r>
        <w:rPr>
          <w:rStyle w:val="FootnoteReference"/>
        </w:rPr>
        <w:footnoteReference w:id="37"/>
      </w:r>
      <w:r>
        <w:rPr>
          <w:rStyle w:val="FootnoteReference"/>
        </w:rPr>
        <w:footnoteReference w:id="38"/>
      </w:r>
      <w:r>
        <w:t xml:space="preserve">.</w:t>
      </w:r>
    </w:p>
    <w:p>
      <w:r>
        <w:pict>
          <v:rect style="width:0;height:1.5pt" o:hralign="center" o:hrstd="t" o:hr="t"/>
        </w:pict>
      </w:r>
    </w:p>
    <w:bookmarkEnd w:id="39"/>
    <w:bookmarkStart w:id="67" w:name="market-context"/>
    <w:p>
      <w:pPr>
        <w:pStyle w:val="Heading2"/>
      </w:pPr>
      <w:r>
        <w:t xml:space="preserve">3. Market Context</w:t>
      </w:r>
    </w:p>
    <w:p>
      <w:pPr>
        <w:pStyle w:val="FirstParagraph"/>
      </w:pPr>
      <w:r>
        <w:rPr>
          <w:b/>
          <w:bCs/>
        </w:rPr>
        <w:t xml:space="preserve">Total Addressable Market (TAM)</w:t>
      </w:r>
      <w:r>
        <w:t xml:space="preserve">: Specific market sizing unavailable, but directional indicators suggest substantial opportunity. U.S. data center power demand projected to grow from 17 GW (2022) to 35 GW by 2030 (McKinsey), representing $15-20B annual infrastructure spend. Nuclear’s addressable share depends on regulatory approval timelines and cost competitiveness versus natural gas peakers and grid connections.</w:t>
      </w:r>
    </w:p>
    <w:p>
      <w:pPr>
        <w:pStyle w:val="BodyText"/>
      </w:pPr>
      <w:r>
        <w:rPr>
          <w:b/>
          <w:bCs/>
        </w:rPr>
        <w:t xml:space="preserve">Market dynamics</w:t>
      </w:r>
      <w:r>
        <w:t xml:space="preserve">:</w:t>
      </w:r>
      <w:r>
        <w:t xml:space="preserve"> </w:t>
      </w:r>
      <w:r>
        <w:t xml:space="preserve">-</w:t>
      </w:r>
      <w:r>
        <w:t xml:space="preserve"> </w:t>
      </w:r>
      <w:r>
        <w:rPr>
          <w:b/>
          <w:bCs/>
        </w:rPr>
        <w:t xml:space="preserve">AI compute power crunch</w:t>
      </w:r>
      <w:r>
        <w:t xml:space="preserve">: Major tech companies (Microsoft, Google, Amazon, Meta) publicly announcing data center power constraints as primary bottleneck to AI scaling. Microsoft’s 2023 commitment to 10.5 GW of clean energy procurement signals demand scale</w:t>
      </w:r>
      <w:r>
        <w:rPr>
          <w:rStyle w:val="FootnoteReference"/>
        </w:rPr>
        <w:footnoteReference w:id="40"/>
      </w:r>
      <w:r>
        <w:rPr>
          <w:rStyle w:val="FootnoteReference"/>
        </w:rPr>
        <w:footnoteReference w:id="41"/>
      </w:r>
      <w:r>
        <w:t xml:space="preserve">.</w:t>
      </w:r>
      <w:r>
        <w:t xml:space="preserve"> </w:t>
      </w:r>
      <w:r>
        <w:t xml:space="preserve">-</w:t>
      </w:r>
      <w:r>
        <w:t xml:space="preserve"> </w:t>
      </w:r>
      <w:r>
        <w:rPr>
          <w:b/>
          <w:bCs/>
        </w:rPr>
        <w:t xml:space="preserve">Regulatory tailwinds</w:t>
      </w:r>
      <w:r>
        <w:t xml:space="preserve">: Multiple Presidential Executive Orders supporting advanced nuclear development. Texas and Idaho passing state legislation enabling nuclear deployment. DOE’s Nuclear Reactor Pilot Program specifically targeting accelerated demonstration timelines (criticality within one year per Executive Order)</w:t>
      </w:r>
      <w:r>
        <w:rPr>
          <w:rStyle w:val="FootnoteReference"/>
        </w:rPr>
        <w:footnoteReference w:id="42"/>
      </w:r>
      <w:r>
        <w:rPr>
          <w:rStyle w:val="FootnoteReference"/>
        </w:rPr>
        <w:footnoteReference w:id="43"/>
      </w:r>
      <w:r>
        <w:rPr>
          <w:rStyle w:val="FootnoteReference"/>
        </w:rPr>
        <w:footnoteReference w:id="44"/>
      </w:r>
      <w:r>
        <w:t xml:space="preserve">.</w:t>
      </w:r>
      <w:r>
        <w:t xml:space="preserve"> </w:t>
      </w:r>
      <w:r>
        <w:t xml:space="preserve">-</w:t>
      </w:r>
      <w:r>
        <w:t xml:space="preserve"> </w:t>
      </w:r>
      <w:r>
        <w:rPr>
          <w:b/>
          <w:bCs/>
        </w:rPr>
        <w:t xml:space="preserve">Carbon commitments colliding with reliability needs</w:t>
      </w:r>
      <w:r>
        <w:t xml:space="preserve">: Hyperscalers committed to 24/7 carbon-free energy but facing intermittency challenges with renewables. Nuclear provides baseload reliability that solar/wind cannot match for always-on compute workloads</w:t>
      </w:r>
      <w:r>
        <w:rPr>
          <w:rStyle w:val="FootnoteReference"/>
        </w:rPr>
        <w:footnoteReference w:id="45"/>
      </w:r>
      <w:r>
        <w:rPr>
          <w:rStyle w:val="FootnoteReference"/>
        </w:rPr>
        <w:footnoteReference w:id="46"/>
      </w:r>
      <w:r>
        <w:t xml:space="preserve">.</w:t>
      </w:r>
      <w:r>
        <w:t xml:space="preserve"> </w:t>
      </w:r>
      <w:r>
        <w:t xml:space="preserve">-</w:t>
      </w:r>
      <w:r>
        <w:t xml:space="preserve"> </w:t>
      </w:r>
      <w:r>
        <w:rPr>
          <w:b/>
          <w:bCs/>
        </w:rPr>
        <w:t xml:space="preserve">Manufacturing learning curves</w:t>
      </w:r>
      <w:r>
        <w:t xml:space="preserve">: Factory-based production model enables cost reduction through volume, contrasting with one-off construction economics of traditional nuclear. Similar trajectory to how SpaceX transformed launch economics through manufacturing innovation</w:t>
      </w:r>
      <w:r>
        <w:rPr>
          <w:rStyle w:val="FootnoteReference"/>
        </w:rPr>
        <w:footnoteReference w:id="47"/>
      </w:r>
      <w:r>
        <w:rPr>
          <w:rStyle w:val="FootnoteReference"/>
        </w:rPr>
        <w:footnoteReference w:id="48"/>
      </w:r>
      <w:r>
        <w:t xml:space="preserve">.</w:t>
      </w:r>
    </w:p>
    <w:p>
      <w:pPr>
        <w:pStyle w:val="BodyText"/>
      </w:pPr>
      <w:r>
        <w:rPr>
          <w:b/>
          <w:bCs/>
        </w:rPr>
        <w:t xml:space="preserve">Competitive landscape</w:t>
      </w:r>
      <w:r>
        <w:t xml:space="preserve">:</w:t>
      </w:r>
    </w:p>
    <w:p>
      <w:pPr>
        <w:pStyle w:val="BodyText"/>
      </w:pPr>
      <w:r>
        <w:rPr>
          <w:b/>
          <w:bCs/>
        </w:rPr>
        <w:t xml:space="preserve">Direct competitors (Advanced SMRs)</w:t>
      </w:r>
      <w:r>
        <w:t xml:space="preserve">:</w:t>
      </w:r>
      <w:r>
        <w:t xml:space="preserve"> </w:t>
      </w:r>
      <w:r>
        <w:t xml:space="preserve">-</w:t>
      </w:r>
      <w:r>
        <w:t xml:space="preserve"> </w:t>
      </w:r>
      <w:r>
        <w:rPr>
          <w:b/>
          <w:bCs/>
        </w:rPr>
        <w:t xml:space="preserve">NuScale Power</w:t>
      </w:r>
      <w:r>
        <w:t xml:space="preserve">: First SMR to receive NRC design certification (2020), 50 MWe modules, but first project (UAMPS) canceled in 2023 due to cost overruns. Now targeting 2029-2030 deployment</w:t>
      </w:r>
      <w:r>
        <w:rPr>
          <w:rStyle w:val="FootnoteReference"/>
        </w:rPr>
        <w:footnoteReference w:id="49"/>
      </w:r>
      <w:r>
        <w:t xml:space="preserve">.</w:t>
      </w:r>
      <w:r>
        <w:t xml:space="preserve"> </w:t>
      </w:r>
      <w:r>
        <w:t xml:space="preserve">-</w:t>
      </w:r>
      <w:r>
        <w:t xml:space="preserve"> </w:t>
      </w:r>
      <w:r>
        <w:rPr>
          <w:b/>
          <w:bCs/>
        </w:rPr>
        <w:t xml:space="preserve">X-energy</w:t>
      </w:r>
      <w:r>
        <w:t xml:space="preserve">: Xe-100 reactor (80 MWe), DOE Advanced Reactor Demonstration Program participant, targeting late 2020s deployment. Backed by Dow Chemical for industrial applications</w:t>
      </w:r>
      <w:r>
        <w:rPr>
          <w:rStyle w:val="FootnoteReference"/>
        </w:rPr>
        <w:footnoteReference w:id="50"/>
      </w:r>
      <w:r>
        <w:t xml:space="preserve">.</w:t>
      </w:r>
      <w:r>
        <w:t xml:space="preserve"> </w:t>
      </w:r>
      <w:r>
        <w:t xml:space="preserve">-</w:t>
      </w:r>
      <w:r>
        <w:t xml:space="preserve"> </w:t>
      </w:r>
      <w:r>
        <w:rPr>
          <w:b/>
          <w:bCs/>
        </w:rPr>
        <w:t xml:space="preserve">TerraPower</w:t>
      </w:r>
      <w:r>
        <w:t xml:space="preserve"> </w:t>
      </w:r>
      <w:r>
        <w:t xml:space="preserve">(Bill Gates-backed): Natrium reactor (345 MWe), larger scale than Aalo, targeting utility market rather than data centers. First unit under construction in Wyoming</w:t>
      </w:r>
      <w:r>
        <w:rPr>
          <w:rStyle w:val="FootnoteReference"/>
        </w:rPr>
        <w:footnoteReference w:id="51"/>
      </w:r>
      <w:r>
        <w:t xml:space="preserve">.</w:t>
      </w:r>
      <w:r>
        <w:t xml:space="preserve"> </w:t>
      </w:r>
      <w:r>
        <w:t xml:space="preserve">-</w:t>
      </w:r>
      <w:r>
        <w:t xml:space="preserve"> </w:t>
      </w:r>
      <w:r>
        <w:rPr>
          <w:b/>
          <w:bCs/>
        </w:rPr>
        <w:t xml:space="preserve">Oklo</w:t>
      </w:r>
      <w:r>
        <w:t xml:space="preserve">: Aurora microreactor (15 MWe), smaller scale, received NRC application rejection in 2022 but refiling. Focus on remote/military applications</w:t>
      </w:r>
      <w:r>
        <w:rPr>
          <w:rStyle w:val="FootnoteReference"/>
        </w:rPr>
        <w:footnoteReference w:id="52"/>
      </w:r>
      <w:r>
        <w:t xml:space="preserve">.</w:t>
      </w:r>
    </w:p>
    <w:p>
      <w:pPr>
        <w:pStyle w:val="BodyText"/>
      </w:pPr>
      <w:r>
        <w:rPr>
          <w:b/>
          <w:bCs/>
        </w:rPr>
        <w:t xml:space="preserve">Indirect alternatives</w:t>
      </w:r>
      <w:r>
        <w:t xml:space="preserve">:</w:t>
      </w:r>
      <w:r>
        <w:t xml:space="preserve"> </w:t>
      </w:r>
      <w:r>
        <w:t xml:space="preserve">- Natural gas peaker plants (fast deployment, carbon-intensive)</w:t>
      </w:r>
      <w:r>
        <w:t xml:space="preserve"> </w:t>
      </w:r>
      <w:r>
        <w:t xml:space="preserve">- Grid connection upgrades (3-5 year timelines, capacity constrained)</w:t>
      </w:r>
      <w:r>
        <w:t xml:space="preserve"> </w:t>
      </w:r>
      <w:r>
        <w:t xml:space="preserve">- On-site renewables + storage (intermittency challenges for 24/7 compute)</w:t>
      </w:r>
    </w:p>
    <w:p>
      <w:pPr>
        <w:pStyle w:val="BodyText"/>
      </w:pPr>
      <w:r>
        <w:rPr>
          <w:b/>
          <w:bCs/>
        </w:rPr>
        <w:t xml:space="preserve">Differentiation</w:t>
      </w:r>
      <w:r>
        <w:t xml:space="preserve">:</w:t>
      </w:r>
      <w:r>
        <w:t xml:space="preserve"> </w:t>
      </w:r>
      <w:r>
        <w:t xml:space="preserve">-</w:t>
      </w:r>
      <w:r>
        <w:t xml:space="preserve"> </w:t>
      </w:r>
      <w:r>
        <w:rPr>
          <w:b/>
          <w:bCs/>
        </w:rPr>
        <w:t xml:space="preserve">Speed to deployment</w:t>
      </w:r>
      <w:r>
        <w:t xml:space="preserve">: 12-month delivery timeline vs. 5-7 years for traditional nuclear, 3-5 years for grid upgrades</w:t>
      </w:r>
      <w:r>
        <w:rPr>
          <w:rStyle w:val="FootnoteReference"/>
        </w:rPr>
        <w:footnoteReference w:id="53"/>
      </w:r>
      <w:r>
        <w:rPr>
          <w:rStyle w:val="FootnoteReference"/>
        </w:rPr>
        <w:footnoteReference w:id="54"/>
      </w:r>
      <w:r>
        <w:rPr>
          <w:rStyle w:val="FootnoteReference"/>
        </w:rPr>
        <w:footnoteReference w:id="55"/>
      </w:r>
      <w:r>
        <w:t xml:space="preserve"> </w:t>
      </w:r>
      <w:r>
        <w:t xml:space="preserve">-</w:t>
      </w:r>
      <w:r>
        <w:t xml:space="preserve"> </w:t>
      </w:r>
      <w:r>
        <w:rPr>
          <w:b/>
          <w:bCs/>
        </w:rPr>
        <w:t xml:space="preserve">Data center optimization</w:t>
      </w:r>
      <w:r>
        <w:t xml:space="preserve">: 50 MWe sizing specifically matched to hyperscale data center power needs (vs. utility-scale or micro-scale alternatives)</w:t>
      </w:r>
      <w:r>
        <w:rPr>
          <w:rStyle w:val="FootnoteReference"/>
        </w:rPr>
        <w:footnoteReference w:id="56"/>
      </w:r>
      <w:r>
        <w:rPr>
          <w:rStyle w:val="FootnoteReference"/>
        </w:rPr>
        <w:footnoteReference w:id="57"/>
      </w:r>
      <w:r>
        <w:rPr>
          <w:rStyle w:val="FootnoteReference"/>
        </w:rPr>
        <w:footnoteReference w:id="58"/>
      </w:r>
      <w:r>
        <w:t xml:space="preserve"> </w:t>
      </w:r>
      <w:r>
        <w:t xml:space="preserve">-</w:t>
      </w:r>
      <w:r>
        <w:t xml:space="preserve"> </w:t>
      </w:r>
      <w:r>
        <w:rPr>
          <w:b/>
          <w:bCs/>
        </w:rPr>
        <w:t xml:space="preserve">Founder market fit</w:t>
      </w:r>
      <w:r>
        <w:t xml:space="preserve">: CEO’s direct experience procuring energy for Microsoft, Google, Amazon data centers provides unique customer insight</w:t>
      </w:r>
      <w:r>
        <w:rPr>
          <w:rStyle w:val="FootnoteReference"/>
        </w:rPr>
        <w:footnoteReference w:id="59"/>
      </w:r>
      <w:r>
        <w:rPr>
          <w:rStyle w:val="FootnoteReference"/>
        </w:rPr>
        <w:footnoteReference w:id="60"/>
      </w:r>
      <w:r>
        <w:t xml:space="preserve"> </w:t>
      </w:r>
      <w:r>
        <w:t xml:space="preserve">-</w:t>
      </w:r>
      <w:r>
        <w:t xml:space="preserve"> </w:t>
      </w:r>
      <w:r>
        <w:rPr>
          <w:b/>
          <w:bCs/>
        </w:rPr>
        <w:t xml:space="preserve">10x energy density claim</w:t>
      </w:r>
      <w:r>
        <w:t xml:space="preserve">: If validated, represents significant footprint advantage for space-constrained data center sites</w:t>
      </w:r>
      <w:r>
        <w:rPr>
          <w:rStyle w:val="FootnoteReference"/>
        </w:rPr>
        <w:footnoteReference w:id="61"/>
      </w:r>
      <w:r>
        <w:rPr>
          <w:rStyle w:val="FootnoteReference"/>
        </w:rPr>
        <w:footnoteReference w:id="62"/>
      </w:r>
      <w:r>
        <w:rPr>
          <w:rStyle w:val="FootnoteReference"/>
        </w:rPr>
        <w:footnoteReference w:id="63"/>
      </w:r>
      <w:r>
        <w:t xml:space="preserve"> </w:t>
      </w:r>
      <w:r>
        <w:t xml:space="preserve">-</w:t>
      </w:r>
      <w:r>
        <w:t xml:space="preserve"> </w:t>
      </w:r>
      <w:r>
        <w:rPr>
          <w:b/>
          <w:bCs/>
        </w:rPr>
        <w:t xml:space="preserve">Regulatory momentum</w:t>
      </w:r>
      <w:r>
        <w:t xml:space="preserve">: Already in NRC pre-licensing phase and DOE Pilot Program (versus competitors still in early design phases)</w:t>
      </w:r>
      <w:r>
        <w:rPr>
          <w:rStyle w:val="FootnoteReference"/>
        </w:rPr>
        <w:footnoteReference w:id="64"/>
      </w:r>
      <w:r>
        <w:rPr>
          <w:rStyle w:val="FootnoteReference"/>
        </w:rPr>
        <w:footnoteReference w:id="65"/>
      </w:r>
      <w:r>
        <w:rPr>
          <w:rStyle w:val="FootnoteReference"/>
        </w:rPr>
        <w:footnoteReference w:id="66"/>
      </w:r>
    </w:p>
    <w:p>
      <w:r>
        <w:pict>
          <v:rect style="width:0;height:1.5pt" o:hralign="center" o:hrstd="t" o:hr="t"/>
        </w:pict>
      </w:r>
    </w:p>
    <w:bookmarkEnd w:id="67"/>
    <w:bookmarkStart w:id="104" w:name="technology-product"/>
    <w:p>
      <w:pPr>
        <w:pStyle w:val="Heading2"/>
      </w:pPr>
      <w:r>
        <w:t xml:space="preserve">4. Technology &amp; Product</w:t>
      </w:r>
    </w:p>
    <w:p>
      <w:pPr>
        <w:pStyle w:val="FirstParagraph"/>
      </w:pPr>
      <w:r>
        <w:rPr>
          <w:b/>
          <w:bCs/>
        </w:rPr>
        <w:t xml:space="preserve">Technical approach</w:t>
      </w:r>
      <w:r>
        <w:t xml:space="preserve">: XMR (Extra Modular Reactor) technology using readily available uranium fuel forms. Design emphasizes factory manufacturability and modularity to enable mass production economics. Specific reactor type (PWR, BWR, fast reactor, etc.) not disclosed in available materials, but MARVEL program background (INL’s microreactor research) suggests potential fast reactor heritage. The</w:t>
      </w:r>
      <w:r>
        <w:t xml:space="preserve"> </w:t>
      </w:r>
      <w:r>
        <w:t xml:space="preserve">“10x more energy than comparable physical size”</w:t>
      </w:r>
      <w:r>
        <w:t xml:space="preserve"> </w:t>
      </w:r>
      <w:r>
        <w:t xml:space="preserve">claim implies high power density design, likely through advanced coolant or fuel configuration</w:t>
      </w:r>
      <w:r>
        <w:rPr>
          <w:rStyle w:val="FootnoteReference"/>
        </w:rPr>
        <w:footnoteReference w:id="68"/>
      </w:r>
      <w:r>
        <w:rPr>
          <w:rStyle w:val="FootnoteReference"/>
        </w:rPr>
        <w:footnoteReference w:id="69"/>
      </w:r>
      <w:r>
        <w:rPr>
          <w:rStyle w:val="FootnoteReference"/>
        </w:rPr>
        <w:footnoteReference w:id="70"/>
      </w:r>
      <w:r>
        <w:t xml:space="preserve">.</w:t>
      </w:r>
    </w:p>
    <w:p>
      <w:pPr>
        <w:pStyle w:val="BodyText"/>
      </w:pPr>
      <w:r>
        <w:rPr>
          <w:b/>
          <w:bCs/>
        </w:rPr>
        <w:t xml:space="preserve">Current product status</w:t>
      </w:r>
      <w:r>
        <w:t xml:space="preserve">:</w:t>
      </w:r>
      <w:r>
        <w:t xml:space="preserve"> </w:t>
      </w:r>
      <w:r>
        <w:t xml:space="preserve">-</w:t>
      </w:r>
      <w:r>
        <w:t xml:space="preserve"> </w:t>
      </w:r>
      <w:r>
        <w:rPr>
          <w:b/>
          <w:bCs/>
        </w:rPr>
        <w:t xml:space="preserve">Aalo-X</w:t>
      </w:r>
      <w:r>
        <w:t xml:space="preserve"> </w:t>
      </w:r>
      <w:r>
        <w:t xml:space="preserve">(experimental reactor): Preliminary Design Review completed. Manufacturing and fuel fabrication begun. Assigned site at Idaho National Laboratory. Target: zero-power criticality summer 2026. This represents the technical validation pathway before commercial deployment</w:t>
      </w:r>
      <w:r>
        <w:rPr>
          <w:rStyle w:val="FootnoteReference"/>
        </w:rPr>
        <w:footnoteReference w:id="71"/>
      </w:r>
      <w:r>
        <w:rPr>
          <w:rStyle w:val="FootnoteReference"/>
        </w:rPr>
        <w:footnoteReference w:id="72"/>
      </w:r>
      <w:r>
        <w:rPr>
          <w:rStyle w:val="FootnoteReference"/>
        </w:rPr>
        <w:footnoteReference w:id="73"/>
      </w:r>
      <w:r>
        <w:t xml:space="preserve">.</w:t>
      </w:r>
      <w:r>
        <w:t xml:space="preserve"> </w:t>
      </w:r>
      <w:r>
        <w:t xml:space="preserve">-</w:t>
      </w:r>
      <w:r>
        <w:t xml:space="preserve"> </w:t>
      </w:r>
      <w:r>
        <w:rPr>
          <w:b/>
          <w:bCs/>
        </w:rPr>
        <w:t xml:space="preserve">Aalo Pod</w:t>
      </w:r>
      <w:r>
        <w:t xml:space="preserve"> </w:t>
      </w:r>
      <w:r>
        <w:t xml:space="preserve">(commercial product): 50 MWe XMR power plant prototype unveiled. Purpose-built for data center applications. 12-month delivery timeline claimed from order placement. 40,000 sq ft pilot factory build-out underway in Austin</w:t>
      </w:r>
      <w:r>
        <w:rPr>
          <w:rStyle w:val="FootnoteReference"/>
        </w:rPr>
        <w:footnoteReference w:id="74"/>
      </w:r>
      <w:r>
        <w:rPr>
          <w:rStyle w:val="FootnoteReference"/>
        </w:rPr>
        <w:footnoteReference w:id="75"/>
      </w:r>
      <w:r>
        <w:rPr>
          <w:rStyle w:val="FootnoteReference"/>
        </w:rPr>
        <w:footnoteReference w:id="76"/>
      </w:r>
      <w:r>
        <w:t xml:space="preserve">.</w:t>
      </w:r>
      <w:r>
        <w:t xml:space="preserve"> </w:t>
      </w:r>
      <w:r>
        <w:t xml:space="preserve">-</w:t>
      </w:r>
      <w:r>
        <w:t xml:space="preserve"> </w:t>
      </w:r>
      <w:r>
        <w:rPr>
          <w:b/>
          <w:bCs/>
        </w:rPr>
        <w:t xml:space="preserve">Aalo-1</w:t>
      </w:r>
      <w:r>
        <w:t xml:space="preserve"> </w:t>
      </w:r>
      <w:r>
        <w:t xml:space="preserve">(utility-scale): Commercial reactor variant for Idaho Falls Power deployment (fleet of seven units planned). Specifications not fully disclosed but represents scaling beyond initial data center focus</w:t>
      </w:r>
      <w:r>
        <w:rPr>
          <w:rStyle w:val="FootnoteReference"/>
        </w:rPr>
        <w:footnoteReference w:id="77"/>
      </w:r>
      <w:r>
        <w:rPr>
          <w:rStyle w:val="FootnoteReference"/>
        </w:rPr>
        <w:footnoteReference w:id="78"/>
      </w:r>
      <w:r>
        <w:rPr>
          <w:rStyle w:val="FootnoteReference"/>
        </w:rPr>
        <w:footnoteReference w:id="79"/>
      </w:r>
      <w:r>
        <w:t xml:space="preserve">.</w:t>
      </w:r>
    </w:p>
    <w:p>
      <w:pPr>
        <w:pStyle w:val="BodyText"/>
      </w:pPr>
      <w:r>
        <w:rPr>
          <w:b/>
          <w:bCs/>
        </w:rPr>
        <w:t xml:space="preserve">Product roadmap</w:t>
      </w:r>
      <w:r>
        <w:t xml:space="preserve">:</w:t>
      </w:r>
      <w:r>
        <w:t xml:space="preserve"> </w:t>
      </w:r>
      <w:r>
        <w:t xml:space="preserve">-</w:t>
      </w:r>
      <w:r>
        <w:t xml:space="preserve"> </w:t>
      </w:r>
      <w:r>
        <w:rPr>
          <w:b/>
          <w:bCs/>
        </w:rPr>
        <w:t xml:space="preserve">2026</w:t>
      </w:r>
      <w:r>
        <w:t xml:space="preserve">: Aalo-X achieves criticality at INL (critical technical milestone)</w:t>
      </w:r>
      <w:r>
        <w:rPr>
          <w:rStyle w:val="FootnoteReference"/>
        </w:rPr>
        <w:footnoteReference w:id="80"/>
      </w:r>
      <w:r>
        <w:rPr>
          <w:rStyle w:val="FootnoteReference"/>
        </w:rPr>
        <w:footnoteReference w:id="81"/>
      </w:r>
      <w:r>
        <w:rPr>
          <w:rStyle w:val="FootnoteReference"/>
        </w:rPr>
        <w:footnoteReference w:id="82"/>
      </w:r>
      <w:r>
        <w:t xml:space="preserve"> </w:t>
      </w:r>
      <w:r>
        <w:t xml:space="preserve">-</w:t>
      </w:r>
      <w:r>
        <w:t xml:space="preserve"> </w:t>
      </w:r>
      <w:r>
        <w:rPr>
          <w:b/>
          <w:bCs/>
        </w:rPr>
        <w:t xml:space="preserve">2026-2027</w:t>
      </w:r>
      <w:r>
        <w:t xml:space="preserve">: NRC pre-licensing phase progresses toward design certification application</w:t>
      </w:r>
      <w:r>
        <w:rPr>
          <w:rStyle w:val="FootnoteReference"/>
        </w:rPr>
        <w:footnoteReference w:id="83"/>
      </w:r>
      <w:r>
        <w:rPr>
          <w:rStyle w:val="FootnoteReference"/>
        </w:rPr>
        <w:footnoteReference w:id="84"/>
      </w:r>
      <w:r>
        <w:rPr>
          <w:rStyle w:val="FootnoteReference"/>
        </w:rPr>
        <w:footnoteReference w:id="85"/>
      </w:r>
      <w:r>
        <w:t xml:space="preserve"> </w:t>
      </w:r>
      <w:r>
        <w:t xml:space="preserve">-</w:t>
      </w:r>
      <w:r>
        <w:t xml:space="preserve"> </w:t>
      </w:r>
      <w:r>
        <w:rPr>
          <w:b/>
          <w:bCs/>
        </w:rPr>
        <w:t xml:space="preserve">2027-2028</w:t>
      </w:r>
      <w:r>
        <w:t xml:space="preserve">: First Aalo Pod commercial deployment (estimated based on 12-month delivery claim and regulatory timeline)</w:t>
      </w:r>
      <w:r>
        <w:rPr>
          <w:rStyle w:val="FootnoteReference"/>
        </w:rPr>
        <w:footnoteReference w:id="86"/>
      </w:r>
      <w:r>
        <w:rPr>
          <w:rStyle w:val="FootnoteReference"/>
        </w:rPr>
        <w:footnoteReference w:id="87"/>
      </w:r>
      <w:r>
        <w:rPr>
          <w:rStyle w:val="FootnoteReference"/>
        </w:rPr>
        <w:footnoteReference w:id="88"/>
      </w:r>
      <w:r>
        <w:t xml:space="preserve"> </w:t>
      </w:r>
      <w:r>
        <w:t xml:space="preserve">-</w:t>
      </w:r>
      <w:r>
        <w:t xml:space="preserve"> </w:t>
      </w:r>
      <w:r>
        <w:rPr>
          <w:b/>
          <w:bCs/>
        </w:rPr>
        <w:t xml:space="preserve">2028+</w:t>
      </w:r>
      <w:r>
        <w:t xml:space="preserve">: Idaho Falls Power fleet deployment begins with Aalo-1 units</w:t>
      </w:r>
      <w:r>
        <w:rPr>
          <w:rStyle w:val="FootnoteReference"/>
        </w:rPr>
        <w:footnoteReference w:id="89"/>
      </w:r>
      <w:r>
        <w:rPr>
          <w:rStyle w:val="FootnoteReference"/>
        </w:rPr>
        <w:footnoteReference w:id="90"/>
      </w:r>
      <w:r>
        <w:rPr>
          <w:rStyle w:val="FootnoteReference"/>
        </w:rPr>
        <w:footnoteReference w:id="91"/>
      </w:r>
      <w:r>
        <w:t xml:space="preserve"> </w:t>
      </w:r>
      <w:r>
        <w:t xml:space="preserve">-</w:t>
      </w:r>
      <w:r>
        <w:t xml:space="preserve"> </w:t>
      </w:r>
      <w:r>
        <w:rPr>
          <w:b/>
          <w:bCs/>
        </w:rPr>
        <w:t xml:space="preserve">Ongoing</w:t>
      </w:r>
      <w:r>
        <w:t xml:space="preserve">: Pilot factory scale-up to support serial production</w:t>
      </w:r>
      <w:r>
        <w:rPr>
          <w:rStyle w:val="FootnoteReference"/>
        </w:rPr>
        <w:footnoteReference w:id="92"/>
      </w:r>
      <w:r>
        <w:rPr>
          <w:rStyle w:val="FootnoteReference"/>
        </w:rPr>
        <w:footnoteReference w:id="93"/>
      </w:r>
    </w:p>
    <w:p>
      <w:pPr>
        <w:pStyle w:val="BodyText"/>
      </w:pPr>
      <w:r>
        <w:rPr>
          <w:b/>
          <w:bCs/>
        </w:rPr>
        <w:t xml:space="preserve">Technical risks/challenges</w:t>
      </w:r>
      <w:r>
        <w:t xml:space="preserve">:</w:t>
      </w:r>
      <w:r>
        <w:t xml:space="preserve"> </w:t>
      </w:r>
      <w:r>
        <w:t xml:space="preserve">-</w:t>
      </w:r>
      <w:r>
        <w:t xml:space="preserve"> </w:t>
      </w:r>
      <w:r>
        <w:rPr>
          <w:b/>
          <w:bCs/>
        </w:rPr>
        <w:t xml:space="preserve">10x energy density validation</w:t>
      </w:r>
      <w:r>
        <w:t xml:space="preserve">: Extraordinary performance claims require independent verification. If Aalo-X testing reveals lower-than-projected power density, competitive advantage diminishes significantly</w:t>
      </w:r>
      <w:r>
        <w:rPr>
          <w:rStyle w:val="FootnoteReference"/>
        </w:rPr>
        <w:footnoteReference w:id="94"/>
      </w:r>
      <w:r>
        <w:rPr>
          <w:rStyle w:val="FootnoteReference"/>
        </w:rPr>
        <w:footnoteReference w:id="95"/>
      </w:r>
      <w:r>
        <w:rPr>
          <w:rStyle w:val="FootnoteReference"/>
        </w:rPr>
        <w:footnoteReference w:id="96"/>
      </w:r>
      <w:r>
        <w:t xml:space="preserve">.</w:t>
      </w:r>
      <w:r>
        <w:t xml:space="preserve"> </w:t>
      </w:r>
      <w:r>
        <w:t xml:space="preserve">-</w:t>
      </w:r>
      <w:r>
        <w:t xml:space="preserve"> </w:t>
      </w:r>
      <w:r>
        <w:rPr>
          <w:b/>
          <w:bCs/>
        </w:rPr>
        <w:t xml:space="preserve">Factory manufacturing unproven at scale</w:t>
      </w:r>
      <w:r>
        <w:t xml:space="preserve">: While concept is sound (similar to NuScale’s approach), Aalo has not yet demonstrated full production line operations. Manufacturing defects or quality control issues could delay deliveries and damage reputation with early customers</w:t>
      </w:r>
      <w:r>
        <w:rPr>
          <w:rStyle w:val="FootnoteReference"/>
        </w:rPr>
        <w:footnoteReference w:id="97"/>
      </w:r>
      <w:r>
        <w:rPr>
          <w:rStyle w:val="FootnoteReference"/>
        </w:rPr>
        <w:footnoteReference w:id="98"/>
      </w:r>
      <w:r>
        <w:t xml:space="preserve">.</w:t>
      </w:r>
      <w:r>
        <w:t xml:space="preserve"> </w:t>
      </w:r>
      <w:r>
        <w:t xml:space="preserve">-</w:t>
      </w:r>
      <w:r>
        <w:t xml:space="preserve"> </w:t>
      </w:r>
      <w:r>
        <w:rPr>
          <w:b/>
          <w:bCs/>
        </w:rPr>
        <w:t xml:space="preserve">Fuel supply chain</w:t>
      </w:r>
      <w:r>
        <w:t xml:space="preserve">: Even</w:t>
      </w:r>
      <w:r>
        <w:t xml:space="preserve"> </w:t>
      </w:r>
      <w:r>
        <w:t xml:space="preserve">“readily available”</w:t>
      </w:r>
      <w:r>
        <w:t xml:space="preserve"> </w:t>
      </w:r>
      <w:r>
        <w:t xml:space="preserve">uranium fuel requires qualified suppliers, fabrication facilities, and transportation infrastructure. Supply chain bottlenecks plagued early SMR projects</w:t>
      </w:r>
      <w:r>
        <w:rPr>
          <w:rStyle w:val="FootnoteReference"/>
        </w:rPr>
        <w:footnoteReference w:id="99"/>
      </w:r>
      <w:r>
        <w:rPr>
          <w:rStyle w:val="FootnoteReference"/>
        </w:rPr>
        <w:footnoteReference w:id="100"/>
      </w:r>
      <w:r>
        <w:t xml:space="preserve">.</w:t>
      </w:r>
      <w:r>
        <w:t xml:space="preserve"> </w:t>
      </w:r>
      <w:r>
        <w:t xml:space="preserve">-</w:t>
      </w:r>
      <w:r>
        <w:t xml:space="preserve"> </w:t>
      </w:r>
      <w:r>
        <w:rPr>
          <w:b/>
          <w:bCs/>
        </w:rPr>
        <w:t xml:space="preserve">First-of-a-kind engineering risks</w:t>
      </w:r>
      <w:r>
        <w:t xml:space="preserve">: Aalo-X is an experimental reactor, not a proven design. Unexpected technical issues during testing could require design modifications, pushing commercial deployment timelines right by 12-24+ months</w:t>
      </w:r>
      <w:r>
        <w:rPr>
          <w:rStyle w:val="FootnoteReference"/>
        </w:rPr>
        <w:footnoteReference w:id="101"/>
      </w:r>
      <w:r>
        <w:rPr>
          <w:rStyle w:val="FootnoteReference"/>
        </w:rPr>
        <w:footnoteReference w:id="102"/>
      </w:r>
      <w:r>
        <w:rPr>
          <w:rStyle w:val="FootnoteReference"/>
        </w:rPr>
        <w:footnoteReference w:id="103"/>
      </w:r>
      <w:r>
        <w:t xml:space="preserve">.</w:t>
      </w:r>
    </w:p>
    <w:p>
      <w:r>
        <w:pict>
          <v:rect style="width:0;height:1.5pt" o:hralign="center" o:hrstd="t" o:hr="t"/>
        </w:pict>
      </w:r>
    </w:p>
    <w:bookmarkEnd w:id="104"/>
    <w:bookmarkStart w:id="158" w:name="traction-milestones"/>
    <w:p>
      <w:pPr>
        <w:pStyle w:val="Heading2"/>
      </w:pPr>
      <w:r>
        <w:t xml:space="preserve">5. Traction &amp; Milestones</w:t>
      </w:r>
    </w:p>
    <w:p>
      <w:pPr>
        <w:pStyle w:val="FirstParagraph"/>
      </w:pPr>
      <w:r>
        <w:rPr>
          <w:b/>
          <w:bCs/>
        </w:rPr>
        <w:t xml:space="preserve">Current metrics</w:t>
      </w:r>
      <w:r>
        <w:t xml:space="preserve">:</w:t>
      </w:r>
      <w:r>
        <w:t xml:space="preserve"> </w:t>
      </w:r>
      <w:r>
        <w:t xml:space="preserve">-</w:t>
      </w:r>
      <w:r>
        <w:t xml:space="preserve"> </w:t>
      </w:r>
      <w:r>
        <w:rPr>
          <w:b/>
          <w:bCs/>
        </w:rPr>
        <w:t xml:space="preserve">Revenue</w:t>
      </w:r>
      <w:r>
        <w:t xml:space="preserve">: Not disclosed (pre-commercial stage)</w:t>
      </w:r>
      <w:r>
        <w:t xml:space="preserve"> </w:t>
      </w:r>
      <w:r>
        <w:t xml:space="preserve">-</w:t>
      </w:r>
      <w:r>
        <w:t xml:space="preserve"> </w:t>
      </w:r>
      <w:r>
        <w:rPr>
          <w:b/>
          <w:bCs/>
        </w:rPr>
        <w:t xml:space="preserve">Customers</w:t>
      </w:r>
      <w:r>
        <w:t xml:space="preserve">: One confirmed customer (Idaho Falls Power MOU for seven reactors). Active discussions with hyperscalers implied by founder backgrounds and market positioning, but no public announcements</w:t>
      </w:r>
      <w:r>
        <w:rPr>
          <w:rStyle w:val="FootnoteReference"/>
        </w:rPr>
        <w:footnoteReference w:id="105"/>
      </w:r>
      <w:r>
        <w:rPr>
          <w:rStyle w:val="FootnoteReference"/>
        </w:rPr>
        <w:footnoteReference w:id="106"/>
      </w:r>
      <w:r>
        <w:rPr>
          <w:rStyle w:val="FootnoteReference"/>
        </w:rPr>
        <w:footnoteReference w:id="107"/>
      </w:r>
      <w:r>
        <w:t xml:space="preserve">.</w:t>
      </w:r>
      <w:r>
        <w:t xml:space="preserve"> </w:t>
      </w:r>
      <w:r>
        <w:t xml:space="preserve">-</w:t>
      </w:r>
      <w:r>
        <w:t xml:space="preserve"> </w:t>
      </w:r>
      <w:r>
        <w:rPr>
          <w:b/>
          <w:bCs/>
        </w:rPr>
        <w:t xml:space="preserve">Funding</w:t>
      </w:r>
      <w:r>
        <w:t xml:space="preserve">: $136M+ total raised across three rounds (Seed: $6.26M April 2023, Series A: $30M, Series B: $100M August 2024)</w:t>
      </w:r>
      <w:r>
        <w:rPr>
          <w:rStyle w:val="FootnoteReference"/>
        </w:rPr>
        <w:footnoteReference w:id="108"/>
      </w:r>
      <w:r>
        <w:rPr>
          <w:rStyle w:val="FootnoteReference"/>
        </w:rPr>
        <w:footnoteReference w:id="109"/>
      </w:r>
      <w:r>
        <w:rPr>
          <w:rStyle w:val="FootnoteReference"/>
        </w:rPr>
        <w:footnoteReference w:id="110"/>
      </w:r>
      <w:r>
        <w:rPr>
          <w:rStyle w:val="FootnoteReference"/>
        </w:rPr>
        <w:footnoteReference w:id="111"/>
      </w:r>
      <w:r>
        <w:rPr>
          <w:rStyle w:val="FootnoteReference"/>
        </w:rPr>
        <w:footnoteReference w:id="113"/>
      </w:r>
      <w:r>
        <w:rPr>
          <w:rStyle w:val="FootnoteReference"/>
        </w:rPr>
        <w:footnoteReference w:id="114"/>
      </w:r>
      <w:r>
        <w:rPr>
          <w:rStyle w:val="FootnoteReference"/>
        </w:rPr>
        <w:footnoteReference w:id="115"/>
      </w:r>
      <w:r>
        <w:t xml:space="preserve">.</w:t>
      </w:r>
    </w:p>
    <w:p>
      <w:pPr>
        <w:pStyle w:val="BodyText"/>
      </w:pPr>
      <w:r>
        <w:rPr>
          <w:b/>
          <w:bCs/>
        </w:rPr>
        <w:t xml:space="preserve">Key partnerships</w:t>
      </w:r>
      <w:r>
        <w:t xml:space="preserve">:</w:t>
      </w:r>
      <w:r>
        <w:t xml:space="preserve"> </w:t>
      </w:r>
      <w:r>
        <w:t xml:space="preserve">-</w:t>
      </w:r>
      <w:r>
        <w:t xml:space="preserve"> </w:t>
      </w:r>
      <w:r>
        <w:rPr>
          <w:b/>
          <w:bCs/>
        </w:rPr>
        <w:t xml:space="preserve">Idaho Falls Power</w:t>
      </w:r>
      <w:r>
        <w:t xml:space="preserve">: MOU signed for fleet of seven Aalo-1 reactors with potential 80-year collaboration. This represents first commercial commitment and provides revenue visibility pathway. Idaho Falls is municipal utility serving ~67,000 people, suggesting initial deployment will be utility-scale rather than data center application</w:t>
      </w:r>
      <w:r>
        <w:rPr>
          <w:rStyle w:val="FootnoteReference"/>
        </w:rPr>
        <w:footnoteReference w:id="116"/>
      </w:r>
      <w:r>
        <w:rPr>
          <w:rStyle w:val="FootnoteReference"/>
        </w:rPr>
        <w:footnoteReference w:id="117"/>
      </w:r>
      <w:r>
        <w:rPr>
          <w:rStyle w:val="FootnoteReference"/>
        </w:rPr>
        <w:footnoteReference w:id="118"/>
      </w:r>
      <w:r>
        <w:t xml:space="preserve">.</w:t>
      </w:r>
      <w:r>
        <w:t xml:space="preserve"> </w:t>
      </w:r>
      <w:r>
        <w:t xml:space="preserve">-</w:t>
      </w:r>
      <w:r>
        <w:t xml:space="preserve"> </w:t>
      </w:r>
      <w:r>
        <w:rPr>
          <w:b/>
          <w:bCs/>
        </w:rPr>
        <w:t xml:space="preserve">U.S. Department of Energy</w:t>
      </w:r>
      <w:r>
        <w:t xml:space="preserve">: Selected for Nuclear Reactor Pilot Program (competitive program with accelerated timelines per Presidential Executive Order). DOE assigned site at Idaho National Laboratory for Aalo-X experimental reactor. DOE-Idaho Operations Office granted official approval to pursue DOE authorization</w:t>
      </w:r>
      <w:r>
        <w:rPr>
          <w:rStyle w:val="FootnoteReference"/>
        </w:rPr>
        <w:footnoteReference w:id="119"/>
      </w:r>
      <w:r>
        <w:rPr>
          <w:rStyle w:val="FootnoteReference"/>
        </w:rPr>
        <w:footnoteReference w:id="120"/>
      </w:r>
      <w:r>
        <w:rPr>
          <w:rStyle w:val="FootnoteReference"/>
        </w:rPr>
        <w:footnoteReference w:id="121"/>
      </w:r>
      <w:r>
        <w:rPr>
          <w:rStyle w:val="FootnoteReference"/>
        </w:rPr>
        <w:footnoteReference w:id="122"/>
      </w:r>
      <w:r>
        <w:t xml:space="preserve">.</w:t>
      </w:r>
      <w:r>
        <w:t xml:space="preserve"> </w:t>
      </w:r>
      <w:r>
        <w:t xml:space="preserve">-</w:t>
      </w:r>
      <w:r>
        <w:t xml:space="preserve"> </w:t>
      </w:r>
      <w:r>
        <w:rPr>
          <w:b/>
          <w:bCs/>
        </w:rPr>
        <w:t xml:space="preserve">Texas Nuclear Alliance</w:t>
      </w:r>
      <w:r>
        <w:t xml:space="preserve">: Founding member (September 2024), providing policy advocacy platform and Texas market access</w:t>
      </w:r>
      <w:r>
        <w:rPr>
          <w:rStyle w:val="FootnoteReference"/>
        </w:rPr>
        <w:footnoteReference w:id="123"/>
      </w:r>
      <w:r>
        <w:t xml:space="preserve">.</w:t>
      </w:r>
    </w:p>
    <w:p>
      <w:pPr>
        <w:pStyle w:val="BodyText"/>
      </w:pPr>
      <w:r>
        <w:rPr>
          <w:b/>
          <w:bCs/>
        </w:rPr>
        <w:t xml:space="preserve">Key milestones achieved</w:t>
      </w:r>
      <w:r>
        <w:t xml:space="preserve">:</w:t>
      </w:r>
      <w:r>
        <w:t xml:space="preserve"> </w:t>
      </w:r>
      <w:r>
        <w:t xml:space="preserve">-</w:t>
      </w:r>
      <w:r>
        <w:t xml:space="preserve"> </w:t>
      </w:r>
      <w:r>
        <w:rPr>
          <w:b/>
          <w:bCs/>
        </w:rPr>
        <w:t xml:space="preserve">2023</w:t>
      </w:r>
      <w:r>
        <w:t xml:space="preserve">: Company founded; Seed round ($6.26M) closed April 2023</w:t>
      </w:r>
      <w:r>
        <w:rPr>
          <w:rStyle w:val="FootnoteReference"/>
        </w:rPr>
        <w:footnoteReference w:id="124"/>
      </w:r>
      <w:r>
        <w:rPr>
          <w:rStyle w:val="FootnoteReference"/>
        </w:rPr>
        <w:footnoteReference w:id="125"/>
      </w:r>
      <w:r>
        <w:rPr>
          <w:rStyle w:val="FootnoteReference"/>
        </w:rPr>
        <w:footnoteReference w:id="126"/>
      </w:r>
      <w:r>
        <w:t xml:space="preserve"> </w:t>
      </w:r>
      <w:r>
        <w:t xml:space="preserve">-</w:t>
      </w:r>
      <w:r>
        <w:t xml:space="preserve"> </w:t>
      </w:r>
      <w:r>
        <w:rPr>
          <w:b/>
          <w:bCs/>
        </w:rPr>
        <w:t xml:space="preserve">2024 Q2</w:t>
      </w:r>
      <w:r>
        <w:t xml:space="preserve">: Series A ($30M) closed; 40,000 sq ft pilot factory build-out begun</w:t>
      </w:r>
      <w:r>
        <w:rPr>
          <w:rStyle w:val="FootnoteReference"/>
        </w:rPr>
        <w:footnoteReference w:id="127"/>
      </w:r>
      <w:r>
        <w:rPr>
          <w:rStyle w:val="FootnoteReference"/>
        </w:rPr>
        <w:footnoteReference w:id="128"/>
      </w:r>
      <w:r>
        <w:rPr>
          <w:rStyle w:val="FootnoteReference"/>
        </w:rPr>
        <w:footnoteReference w:id="129"/>
      </w:r>
      <w:r>
        <w:rPr>
          <w:rStyle w:val="FootnoteReference"/>
        </w:rPr>
        <w:footnoteReference w:id="130"/>
      </w:r>
      <w:r>
        <w:t xml:space="preserve"> </w:t>
      </w:r>
      <w:r>
        <w:t xml:space="preserve">-</w:t>
      </w:r>
      <w:r>
        <w:t xml:space="preserve"> </w:t>
      </w:r>
      <w:r>
        <w:rPr>
          <w:b/>
          <w:bCs/>
        </w:rPr>
        <w:t xml:space="preserve">July 1, 2024</w:t>
      </w:r>
      <w:r>
        <w:t xml:space="preserve">: Submitted Regulatory Engagement Plan to NRC; entered pre-licensing phase (critical regulatory milestone showing serious NRC engagement)</w:t>
      </w:r>
      <w:r>
        <w:rPr>
          <w:rStyle w:val="FootnoteReference"/>
        </w:rPr>
        <w:footnoteReference w:id="131"/>
      </w:r>
      <w:r>
        <w:rPr>
          <w:rStyle w:val="FootnoteReference"/>
        </w:rPr>
        <w:footnoteReference w:id="132"/>
      </w:r>
      <w:r>
        <w:rPr>
          <w:rStyle w:val="FootnoteReference"/>
        </w:rPr>
        <w:footnoteReference w:id="133"/>
      </w:r>
      <w:r>
        <w:t xml:space="preserve"> </w:t>
      </w:r>
      <w:r>
        <w:t xml:space="preserve">-</w:t>
      </w:r>
      <w:r>
        <w:t xml:space="preserve"> </w:t>
      </w:r>
      <w:r>
        <w:rPr>
          <w:b/>
          <w:bCs/>
        </w:rPr>
        <w:t xml:space="preserve">August 2024</w:t>
      </w:r>
      <w:r>
        <w:t xml:space="preserve">: Prototype unveiled; Preliminary Design Review completed for Aalo-X; manufacturing and fuel fabrication begun</w:t>
      </w:r>
      <w:r>
        <w:rPr>
          <w:rStyle w:val="FootnoteReference"/>
        </w:rPr>
        <w:footnoteReference w:id="134"/>
      </w:r>
      <w:r>
        <w:rPr>
          <w:rStyle w:val="FootnoteReference"/>
        </w:rPr>
        <w:footnoteReference w:id="135"/>
      </w:r>
      <w:r>
        <w:rPr>
          <w:rStyle w:val="FootnoteReference"/>
        </w:rPr>
        <w:footnoteReference w:id="136"/>
      </w:r>
      <w:r>
        <w:t xml:space="preserve"> </w:t>
      </w:r>
      <w:r>
        <w:t xml:space="preserve">-</w:t>
      </w:r>
      <w:r>
        <w:t xml:space="preserve"> </w:t>
      </w:r>
      <w:r>
        <w:rPr>
          <w:b/>
          <w:bCs/>
        </w:rPr>
        <w:t xml:space="preserve">August 19, 2024</w:t>
      </w:r>
      <w:r>
        <w:t xml:space="preserve">: Series B ($100M) closed, led by Valor Equity Partners</w:t>
      </w:r>
      <w:r>
        <w:rPr>
          <w:rStyle w:val="FootnoteReference"/>
        </w:rPr>
        <w:footnoteReference w:id="137"/>
      </w:r>
      <w:r>
        <w:rPr>
          <w:rStyle w:val="FootnoteReference"/>
        </w:rPr>
        <w:footnoteReference w:id="138"/>
      </w:r>
      <w:r>
        <w:rPr>
          <w:rStyle w:val="FootnoteReference"/>
        </w:rPr>
        <w:footnoteReference w:id="139"/>
      </w:r>
      <w:r>
        <w:rPr>
          <w:rStyle w:val="FootnoteReference"/>
        </w:rPr>
        <w:footnoteReference w:id="140"/>
      </w:r>
      <w:r>
        <w:rPr>
          <w:rStyle w:val="FootnoteReference"/>
        </w:rPr>
        <w:footnoteReference w:id="141"/>
      </w:r>
      <w:r>
        <w:t xml:space="preserve"> </w:t>
      </w:r>
      <w:r>
        <w:t xml:space="preserve">-</w:t>
      </w:r>
      <w:r>
        <w:t xml:space="preserve"> </w:t>
      </w:r>
      <w:r>
        <w:rPr>
          <w:b/>
          <w:bCs/>
        </w:rPr>
        <w:t xml:space="preserve">September 2024</w:t>
      </w:r>
      <w:r>
        <w:t xml:space="preserve">: Joined Texas Nuclear Alliance as founding member</w:t>
      </w:r>
      <w:r>
        <w:rPr>
          <w:rStyle w:val="FootnoteReference"/>
        </w:rPr>
        <w:footnoteReference w:id="142"/>
      </w:r>
      <w:r>
        <w:t xml:space="preserve"> </w:t>
      </w:r>
      <w:r>
        <w:t xml:space="preserve">-</w:t>
      </w:r>
      <w:r>
        <w:t xml:space="preserve"> </w:t>
      </w:r>
      <w:r>
        <w:rPr>
          <w:b/>
          <w:bCs/>
        </w:rPr>
        <w:t xml:space="preserve">Late 2024</w:t>
      </w:r>
      <w:r>
        <w:t xml:space="preserve">: DOE granted permission to pursue authorization for Aalo-X at INL; selected for DOE Nuclear Reactor Pilot Program</w:t>
      </w:r>
      <w:r>
        <w:rPr>
          <w:rStyle w:val="FootnoteReference"/>
        </w:rPr>
        <w:footnoteReference w:id="143"/>
      </w:r>
      <w:r>
        <w:rPr>
          <w:rStyle w:val="FootnoteReference"/>
        </w:rPr>
        <w:footnoteReference w:id="144"/>
      </w:r>
      <w:r>
        <w:rPr>
          <w:rStyle w:val="FootnoteReference"/>
        </w:rPr>
        <w:footnoteReference w:id="145"/>
      </w:r>
    </w:p>
    <w:p>
      <w:pPr>
        <w:pStyle w:val="BodyText"/>
      </w:pPr>
      <w:r>
        <w:rPr>
          <w:b/>
          <w:bCs/>
        </w:rPr>
        <w:t xml:space="preserve">Next milestones</w:t>
      </w:r>
      <w:r>
        <w:t xml:space="preserve"> </w:t>
      </w:r>
      <w:r>
        <w:t xml:space="preserve">(12-18 months):</w:t>
      </w:r>
      <w:r>
        <w:t xml:space="preserve"> </w:t>
      </w:r>
      <w:r>
        <w:t xml:space="preserve">-</w:t>
      </w:r>
      <w:r>
        <w:t xml:space="preserve"> </w:t>
      </w:r>
      <w:r>
        <w:rPr>
          <w:b/>
          <w:bCs/>
        </w:rPr>
        <w:t xml:space="preserve">Summer 2026</w:t>
      </w:r>
      <w:r>
        <w:t xml:space="preserve">: Aalo-X achieves zero-power criticality at INL (highest priority technical validation)</w:t>
      </w:r>
      <w:r>
        <w:rPr>
          <w:rStyle w:val="FootnoteReference"/>
        </w:rPr>
        <w:footnoteReference w:id="146"/>
      </w:r>
      <w:r>
        <w:rPr>
          <w:rStyle w:val="FootnoteReference"/>
        </w:rPr>
        <w:footnoteReference w:id="147"/>
      </w:r>
      <w:r>
        <w:rPr>
          <w:rStyle w:val="FootnoteReference"/>
        </w:rPr>
        <w:footnoteReference w:id="148"/>
      </w:r>
      <w:r>
        <w:t xml:space="preserve"> </w:t>
      </w:r>
      <w:r>
        <w:t xml:space="preserve">-</w:t>
      </w:r>
      <w:r>
        <w:t xml:space="preserve"> </w:t>
      </w:r>
      <w:r>
        <w:rPr>
          <w:b/>
          <w:bCs/>
        </w:rPr>
        <w:t xml:space="preserve">Q1-Q2 2025</w:t>
      </w:r>
      <w:r>
        <w:t xml:space="preserve">: NRC pre-application meetings and design review feedback incorporation</w:t>
      </w:r>
      <w:r>
        <w:rPr>
          <w:rStyle w:val="FootnoteReference"/>
        </w:rPr>
        <w:footnoteReference w:id="149"/>
      </w:r>
      <w:r>
        <w:rPr>
          <w:rStyle w:val="FootnoteReference"/>
        </w:rPr>
        <w:footnoteReference w:id="150"/>
      </w:r>
      <w:r>
        <w:rPr>
          <w:rStyle w:val="FootnoteReference"/>
        </w:rPr>
        <w:footnoteReference w:id="151"/>
      </w:r>
      <w:r>
        <w:t xml:space="preserve"> </w:t>
      </w:r>
      <w:r>
        <w:t xml:space="preserve">-</w:t>
      </w:r>
      <w:r>
        <w:t xml:space="preserve"> </w:t>
      </w:r>
      <w:r>
        <w:rPr>
          <w:b/>
          <w:bCs/>
        </w:rPr>
        <w:t xml:space="preserve">2025</w:t>
      </w:r>
      <w:r>
        <w:t xml:space="preserve">: Pilot factory operational and producing first commercial components</w:t>
      </w:r>
      <w:r>
        <w:rPr>
          <w:rStyle w:val="FootnoteReference"/>
        </w:rPr>
        <w:footnoteReference w:id="152"/>
      </w:r>
      <w:r>
        <w:rPr>
          <w:rStyle w:val="FootnoteReference"/>
        </w:rPr>
        <w:footnoteReference w:id="153"/>
      </w:r>
      <w:r>
        <w:t xml:space="preserve"> </w:t>
      </w:r>
      <w:r>
        <w:t xml:space="preserve">-</w:t>
      </w:r>
      <w:r>
        <w:t xml:space="preserve"> </w:t>
      </w:r>
      <w:r>
        <w:rPr>
          <w:b/>
          <w:bCs/>
        </w:rPr>
        <w:t xml:space="preserve">2025-2026</w:t>
      </w:r>
      <w:r>
        <w:t xml:space="preserve">: First commercial customer announcement beyond Idaho Falls Power (likely hyperscaler data center application)</w:t>
      </w:r>
      <w:r>
        <w:rPr>
          <w:rStyle w:val="FootnoteReference"/>
        </w:rPr>
        <w:footnoteReference w:id="154"/>
      </w:r>
      <w:r>
        <w:rPr>
          <w:rStyle w:val="FootnoteReference"/>
        </w:rPr>
        <w:footnoteReference w:id="155"/>
      </w:r>
      <w:r>
        <w:t xml:space="preserve"> </w:t>
      </w:r>
      <w:r>
        <w:t xml:space="preserve">-</w:t>
      </w:r>
      <w:r>
        <w:t xml:space="preserve"> </w:t>
      </w:r>
      <w:r>
        <w:rPr>
          <w:b/>
          <w:bCs/>
        </w:rPr>
        <w:t xml:space="preserve">2026</w:t>
      </w:r>
      <w:r>
        <w:t xml:space="preserve">: Aalo Pod production timeline confirmation and first unit delivery date announcement</w:t>
      </w:r>
      <w:r>
        <w:rPr>
          <w:rStyle w:val="FootnoteReference"/>
        </w:rPr>
        <w:footnoteReference w:id="156"/>
      </w:r>
      <w:r>
        <w:rPr>
          <w:rStyle w:val="FootnoteReference"/>
        </w:rPr>
        <w:footnoteReference w:id="157"/>
      </w:r>
    </w:p>
    <w:p>
      <w:r>
        <w:pict>
          <v:rect style="width:0;height:1.5pt" o:hralign="center" o:hrstd="t" o:hr="t"/>
        </w:pict>
      </w:r>
    </w:p>
    <w:bookmarkEnd w:id="158"/>
    <w:bookmarkStart w:id="186" w:name="team"/>
    <w:p>
      <w:pPr>
        <w:pStyle w:val="Heading2"/>
      </w:pPr>
      <w:r>
        <w:t xml:space="preserve">6. Team</w:t>
      </w:r>
    </w:p>
    <w:p>
      <w:pPr>
        <w:pStyle w:val="FirstParagraph"/>
      </w:pPr>
      <w:r>
        <w:rPr>
          <w:b/>
          <w:bCs/>
        </w:rPr>
        <w:t xml:space="preserve">Founders</w:t>
      </w:r>
      <w:r>
        <w:t xml:space="preserve">:</w:t>
      </w:r>
      <w:r>
        <w:t xml:space="preserve"> </w:t>
      </w:r>
      <w:r>
        <w:t xml:space="preserve">-</w:t>
      </w:r>
      <w:r>
        <w:t xml:space="preserve"> </w:t>
      </w:r>
      <w:r>
        <w:rPr>
          <w:b/>
          <w:bCs/>
        </w:rPr>
        <w:t xml:space="preserve">Matt Loszak</w:t>
      </w:r>
      <w:r>
        <w:t xml:space="preserve"> </w:t>
      </w:r>
      <w:r>
        <w:t xml:space="preserve">(Co-Founder and CEO): Previously Director of Energy at Microsoft, Google, and Amazon - rare trifecta giving direct insight into hyperscaler energy procurement processes, pain points, and decision-making. Understands customer needs from years of being the customer. Background suggests strong relationships with potential anchor customers</w:t>
      </w:r>
      <w:r>
        <w:rPr>
          <w:rStyle w:val="FootnoteReference"/>
        </w:rPr>
        <w:footnoteReference w:id="159"/>
      </w:r>
      <w:r>
        <w:rPr>
          <w:rStyle w:val="FootnoteReference"/>
        </w:rPr>
        <w:footnoteReference w:id="160"/>
      </w:r>
      <w:r>
        <w:t xml:space="preserve">.</w:t>
      </w:r>
      <w:r>
        <w:t xml:space="preserve"> </w:t>
      </w:r>
      <w:r>
        <w:t xml:space="preserve">-</w:t>
      </w:r>
      <w:r>
        <w:t xml:space="preserve"> </w:t>
      </w:r>
      <w:r>
        <w:rPr>
          <w:b/>
          <w:bCs/>
        </w:rPr>
        <w:t xml:space="preserve">Yasir Arafat</w:t>
      </w:r>
      <w:r>
        <w:t xml:space="preserve"> </w:t>
      </w:r>
      <w:r>
        <w:t xml:space="preserve">(Co-Founder and CTO): Previously from INL’s MARVEL microreactor program (DOE’s leading advanced reactor R&amp;D initiative). Harvard University education. MARVEL program focused on rapid prototyping and testing of novel reactor concepts, directly relevant to Aalo’s fast-timeline approach. Technical credibility with DOE and national lab community</w:t>
      </w:r>
      <w:r>
        <w:rPr>
          <w:rStyle w:val="FootnoteReference"/>
        </w:rPr>
        <w:footnoteReference w:id="161"/>
      </w:r>
      <w:r>
        <w:rPr>
          <w:rStyle w:val="FootnoteReference"/>
        </w:rPr>
        <w:footnoteReference w:id="162"/>
      </w:r>
      <w:r>
        <w:t xml:space="preserve">.</w:t>
      </w:r>
    </w:p>
    <w:p>
      <w:pPr>
        <w:pStyle w:val="BodyText"/>
      </w:pPr>
      <w:r>
        <w:rPr>
          <w:b/>
          <w:bCs/>
        </w:rPr>
        <w:t xml:space="preserve">Key hires</w:t>
      </w:r>
      <w:r>
        <w:t xml:space="preserve">:</w:t>
      </w:r>
      <w:r>
        <w:t xml:space="preserve"> </w:t>
      </w:r>
      <w:r>
        <w:t xml:space="preserve">-</w:t>
      </w:r>
      <w:r>
        <w:t xml:space="preserve"> </w:t>
      </w:r>
      <w:r>
        <w:rPr>
          <w:b/>
          <w:bCs/>
        </w:rPr>
        <w:t xml:space="preserve">Richard Williams</w:t>
      </w:r>
      <w:r>
        <w:t xml:space="preserve"> </w:t>
      </w:r>
      <w:r>
        <w:t xml:space="preserve">(Director of Engineering): Previously Director of Engineering on MARVEL program at INL. Brings technical continuity from national lab R&amp;D to commercial deployment</w:t>
      </w:r>
      <w:r>
        <w:rPr>
          <w:rStyle w:val="FootnoteReference"/>
        </w:rPr>
        <w:footnoteReference w:id="163"/>
      </w:r>
      <w:r>
        <w:rPr>
          <w:rStyle w:val="FootnoteReference"/>
        </w:rPr>
        <w:footnoteReference w:id="164"/>
      </w:r>
      <w:r>
        <w:t xml:space="preserve">.</w:t>
      </w:r>
      <w:r>
        <w:t xml:space="preserve"> </w:t>
      </w:r>
      <w:r>
        <w:t xml:space="preserve">-</w:t>
      </w:r>
      <w:r>
        <w:t xml:space="preserve"> </w:t>
      </w:r>
      <w:r>
        <w:rPr>
          <w:b/>
          <w:bCs/>
        </w:rPr>
        <w:t xml:space="preserve">Austin Anthis</w:t>
      </w:r>
      <w:r>
        <w:t xml:space="preserve">: Leads mechatronic systems engineering (critical for factory automation and modular assembly)</w:t>
      </w:r>
      <w:r>
        <w:t xml:space="preserve"> </w:t>
      </w:r>
      <w:r>
        <w:t xml:space="preserve">-</w:t>
      </w:r>
      <w:r>
        <w:t xml:space="preserve"> </w:t>
      </w:r>
      <w:r>
        <w:rPr>
          <w:b/>
          <w:bCs/>
        </w:rPr>
        <w:t xml:space="preserve">Stu Aaron</w:t>
      </w:r>
      <w:r>
        <w:t xml:space="preserve">: Strategic advisor, fractional VP of Product (product-market fit expertise)</w:t>
      </w:r>
      <w:r>
        <w:t xml:space="preserve"> </w:t>
      </w:r>
      <w:r>
        <w:t xml:space="preserve">-</w:t>
      </w:r>
      <w:r>
        <w:t xml:space="preserve"> </w:t>
      </w:r>
      <w:r>
        <w:rPr>
          <w:b/>
          <w:bCs/>
        </w:rPr>
        <w:t xml:space="preserve">Scott Reynolds</w:t>
      </w:r>
      <w:r>
        <w:t xml:space="preserve">: Fractional Vice President of Finance (financial scaling expertise)</w:t>
      </w:r>
      <w:r>
        <w:t xml:space="preserve"> </w:t>
      </w:r>
      <w:r>
        <w:t xml:space="preserve">-</w:t>
      </w:r>
      <w:r>
        <w:t xml:space="preserve"> </w:t>
      </w:r>
      <w:r>
        <w:rPr>
          <w:b/>
          <w:bCs/>
        </w:rPr>
        <w:t xml:space="preserve">Government affairs team</w:t>
      </w:r>
      <w:r>
        <w:t xml:space="preserve">: Senior roles from U.S. Department of Energy represented (names not disclosed). Critical for navigating DOE and NRC regulatory processes</w:t>
      </w:r>
      <w:r>
        <w:rPr>
          <w:rStyle w:val="FootnoteReference"/>
        </w:rPr>
        <w:footnoteReference w:id="165"/>
      </w:r>
      <w:r>
        <w:rPr>
          <w:rStyle w:val="FootnoteReference"/>
        </w:rPr>
        <w:footnoteReference w:id="166"/>
      </w:r>
      <w:r>
        <w:t xml:space="preserve">.</w:t>
      </w:r>
      <w:r>
        <w:t xml:space="preserve"> </w:t>
      </w:r>
      <w:r>
        <w:t xml:space="preserve">-</w:t>
      </w:r>
      <w:r>
        <w:t xml:space="preserve"> </w:t>
      </w:r>
      <w:r>
        <w:rPr>
          <w:b/>
          <w:bCs/>
        </w:rPr>
        <w:t xml:space="preserve">Commercial leadership</w:t>
      </w:r>
      <w:r>
        <w:t xml:space="preserve">: Previously Director of Product and Marketing at Bloom Energy; Director of Government Programs at GE Hitachi; Director of Finance at Bloom Energy. These hires bring commercialization experience from adjacent energy hardware sectors (fuel cells, nuclear)</w:t>
      </w:r>
      <w:r>
        <w:rPr>
          <w:rStyle w:val="FootnoteReference"/>
        </w:rPr>
        <w:footnoteReference w:id="167"/>
      </w:r>
      <w:r>
        <w:rPr>
          <w:rStyle w:val="FootnoteReference"/>
        </w:rPr>
        <w:footnoteReference w:id="168"/>
      </w:r>
      <w:r>
        <w:t xml:space="preserve">.</w:t>
      </w:r>
    </w:p>
    <w:p>
      <w:pPr>
        <w:pStyle w:val="BodyText"/>
      </w:pPr>
      <w:r>
        <w:rPr>
          <w:b/>
          <w:bCs/>
        </w:rPr>
        <w:t xml:space="preserve">Team size</w:t>
      </w:r>
      <w:r>
        <w:t xml:space="preserve">: Not disclosed, but 40,000 sq ft pilot factory and $136M funding suggests 50-100+ employees currently</w:t>
      </w:r>
      <w:r>
        <w:rPr>
          <w:rStyle w:val="FootnoteReference"/>
        </w:rPr>
        <w:footnoteReference w:id="169"/>
      </w:r>
      <w:r>
        <w:rPr>
          <w:rStyle w:val="FootnoteReference"/>
        </w:rPr>
        <w:footnoteReference w:id="170"/>
      </w:r>
      <w:r>
        <w:t xml:space="preserve">.</w:t>
      </w:r>
    </w:p>
    <w:p>
      <w:pPr>
        <w:pStyle w:val="BodyText"/>
      </w:pPr>
      <w:r>
        <w:rPr>
          <w:b/>
          <w:bCs/>
        </w:rPr>
        <w:t xml:space="preserve">Team assessment</w:t>
      </w:r>
      <w:r>
        <w:t xml:space="preserve">:</w:t>
      </w:r>
    </w:p>
    <w:p>
      <w:pPr>
        <w:pStyle w:val="BodyText"/>
      </w:pPr>
      <w:r>
        <w:rPr>
          <w:i/>
          <w:iCs/>
        </w:rPr>
        <w:t xml:space="preserve">Strengths</w:t>
      </w:r>
      <w:r>
        <w:t xml:space="preserve">:</w:t>
      </w:r>
      <w:r>
        <w:t xml:space="preserve"> </w:t>
      </w:r>
      <w:r>
        <w:t xml:space="preserve">-</w:t>
      </w:r>
      <w:r>
        <w:t xml:space="preserve"> </w:t>
      </w:r>
      <w:r>
        <w:rPr>
          <w:b/>
          <w:bCs/>
        </w:rPr>
        <w:t xml:space="preserve">Founder-market fit</w:t>
      </w:r>
      <w:r>
        <w:t xml:space="preserve">: CEO’s hyperscaler energy procurement background is exceptional differentiator. He knows the customer because he was the customer</w:t>
      </w:r>
      <w:r>
        <w:rPr>
          <w:rStyle w:val="FootnoteReference"/>
        </w:rPr>
        <w:footnoteReference w:id="171"/>
      </w:r>
      <w:r>
        <w:rPr>
          <w:rStyle w:val="FootnoteReference"/>
        </w:rPr>
        <w:footnoteReference w:id="172"/>
      </w:r>
      <w:r>
        <w:t xml:space="preserve">.</w:t>
      </w:r>
      <w:r>
        <w:t xml:space="preserve"> </w:t>
      </w:r>
      <w:r>
        <w:t xml:space="preserve">-</w:t>
      </w:r>
      <w:r>
        <w:t xml:space="preserve"> </w:t>
      </w:r>
      <w:r>
        <w:rPr>
          <w:b/>
          <w:bCs/>
        </w:rPr>
        <w:t xml:space="preserve">Technical credibility</w:t>
      </w:r>
      <w:r>
        <w:t xml:space="preserve">: CTO and engineering leadership from INL’s MARVEL program provides DOE/national lab trust and technical validation</w:t>
      </w:r>
      <w:r>
        <w:rPr>
          <w:rStyle w:val="FootnoteReference"/>
        </w:rPr>
        <w:footnoteReference w:id="173"/>
      </w:r>
      <w:r>
        <w:rPr>
          <w:rStyle w:val="FootnoteReference"/>
        </w:rPr>
        <w:footnoteReference w:id="174"/>
      </w:r>
      <w:r>
        <w:t xml:space="preserve">.</w:t>
      </w:r>
      <w:r>
        <w:t xml:space="preserve"> </w:t>
      </w:r>
      <w:r>
        <w:t xml:space="preserve">-</w:t>
      </w:r>
      <w:r>
        <w:t xml:space="preserve"> </w:t>
      </w:r>
      <w:r>
        <w:rPr>
          <w:b/>
          <w:bCs/>
        </w:rPr>
        <w:t xml:space="preserve">Regulatory expertise</w:t>
      </w:r>
      <w:r>
        <w:t xml:space="preserve">: DOE veterans on team critical for navigating complex nuclear regulatory environment. Early NRC engagement (pre-licensing phase in first 18 months) demonstrates sophisticated regulatory strategy</w:t>
      </w:r>
      <w:r>
        <w:rPr>
          <w:rStyle w:val="FootnoteReference"/>
        </w:rPr>
        <w:footnoteReference w:id="175"/>
      </w:r>
      <w:r>
        <w:rPr>
          <w:rStyle w:val="FootnoteReference"/>
        </w:rPr>
        <w:footnoteReference w:id="176"/>
      </w:r>
      <w:r>
        <w:rPr>
          <w:rStyle w:val="FootnoteReference"/>
        </w:rPr>
        <w:footnoteReference w:id="177"/>
      </w:r>
      <w:r>
        <w:t xml:space="preserve">.</w:t>
      </w:r>
      <w:r>
        <w:t xml:space="preserve"> </w:t>
      </w:r>
      <w:r>
        <w:t xml:space="preserve">-</w:t>
      </w:r>
      <w:r>
        <w:t xml:space="preserve"> </w:t>
      </w:r>
      <w:r>
        <w:rPr>
          <w:b/>
          <w:bCs/>
        </w:rPr>
        <w:t xml:space="preserve">Commercialization experience</w:t>
      </w:r>
      <w:r>
        <w:t xml:space="preserve">: Bloom Energy and GE Hitachi veterans bring track record of scaling energy hardware businesses and managing government contracts</w:t>
      </w:r>
      <w:r>
        <w:rPr>
          <w:rStyle w:val="FootnoteReference"/>
        </w:rPr>
        <w:footnoteReference w:id="178"/>
      </w:r>
      <w:r>
        <w:rPr>
          <w:rStyle w:val="FootnoteReference"/>
        </w:rPr>
        <w:footnoteReference w:id="179"/>
      </w:r>
      <w:r>
        <w:t xml:space="preserve">.</w:t>
      </w:r>
    </w:p>
    <w:p>
      <w:pPr>
        <w:pStyle w:val="BodyText"/>
      </w:pPr>
      <w:r>
        <w:rPr>
          <w:i/>
          <w:iCs/>
        </w:rPr>
        <w:t xml:space="preserve">Gaps</w:t>
      </w:r>
      <w:r>
        <w:t xml:space="preserve">:</w:t>
      </w:r>
      <w:r>
        <w:t xml:space="preserve"> </w:t>
      </w:r>
      <w:r>
        <w:t xml:space="preserve">-</w:t>
      </w:r>
      <w:r>
        <w:t xml:space="preserve"> </w:t>
      </w:r>
      <w:r>
        <w:rPr>
          <w:b/>
          <w:bCs/>
        </w:rPr>
        <w:t xml:space="preserve">Nuclear operations experience</w:t>
      </w:r>
      <w:r>
        <w:t xml:space="preserve">: Team strong on design and regulatory, but limited disclosed experience in actual reactor operations. Will need to hire operations leadership before first commercial deployment</w:t>
      </w:r>
      <w:r>
        <w:rPr>
          <w:rStyle w:val="FootnoteReference"/>
        </w:rPr>
        <w:footnoteReference w:id="180"/>
      </w:r>
      <w:r>
        <w:rPr>
          <w:rStyle w:val="FootnoteReference"/>
        </w:rPr>
        <w:footnoteReference w:id="181"/>
      </w:r>
      <w:r>
        <w:t xml:space="preserve">.</w:t>
      </w:r>
      <w:r>
        <w:t xml:space="preserve"> </w:t>
      </w:r>
      <w:r>
        <w:t xml:space="preserve">-</w:t>
      </w:r>
      <w:r>
        <w:t xml:space="preserve"> </w:t>
      </w:r>
      <w:r>
        <w:rPr>
          <w:b/>
          <w:bCs/>
        </w:rPr>
        <w:t xml:space="preserve">Manufacturing scale-up</w:t>
      </w:r>
      <w:r>
        <w:t xml:space="preserve">: Pilot factory is first step, but scaling to serial production will require experienced manufacturing leadership. No disclosed hires from automotive or aerospace mass production backgrounds yet</w:t>
      </w:r>
      <w:r>
        <w:rPr>
          <w:rStyle w:val="FootnoteReference"/>
        </w:rPr>
        <w:footnoteReference w:id="182"/>
      </w:r>
      <w:r>
        <w:rPr>
          <w:rStyle w:val="FootnoteReference"/>
        </w:rPr>
        <w:footnoteReference w:id="183"/>
      </w:r>
      <w:r>
        <w:t xml:space="preserve">.</w:t>
      </w:r>
      <w:r>
        <w:t xml:space="preserve"> </w:t>
      </w:r>
      <w:r>
        <w:t xml:space="preserve">-</w:t>
      </w:r>
      <w:r>
        <w:t xml:space="preserve"> </w:t>
      </w:r>
      <w:r>
        <w:rPr>
          <w:b/>
          <w:bCs/>
        </w:rPr>
        <w:t xml:space="preserve">Sales and customer success</w:t>
      </w:r>
      <w:r>
        <w:t xml:space="preserve">: With first commercial deployments approaching, need dedicated sales leadership to convert hyperscaler interest into contracts. CEO can open doors but cannot scale customer acquisition alone</w:t>
      </w:r>
      <w:r>
        <w:rPr>
          <w:rStyle w:val="FootnoteReference"/>
        </w:rPr>
        <w:footnoteReference w:id="184"/>
      </w:r>
      <w:r>
        <w:rPr>
          <w:rStyle w:val="FootnoteReference"/>
        </w:rPr>
        <w:footnoteReference w:id="185"/>
      </w:r>
      <w:r>
        <w:t xml:space="preserve">.</w:t>
      </w:r>
    </w:p>
    <w:p>
      <w:r>
        <w:pict>
          <v:rect style="width:0;height:1.5pt" o:hralign="center" o:hrstd="t" o:hr="t"/>
        </w:pict>
      </w:r>
    </w:p>
    <w:bookmarkEnd w:id="186"/>
    <w:bookmarkStart w:id="236" w:name="funding-terms"/>
    <w:p>
      <w:pPr>
        <w:pStyle w:val="Heading2"/>
      </w:pPr>
      <w:r>
        <w:t xml:space="preserve">7. Funding &amp; Terms</w:t>
      </w:r>
    </w:p>
    <w:p>
      <w:pPr>
        <w:pStyle w:val="FirstParagraph"/>
      </w:pPr>
      <w:r>
        <w:rPr>
          <w:b/>
          <w:bCs/>
        </w:rPr>
        <w:t xml:space="preserve">Round</w:t>
      </w:r>
      <w:r>
        <w:t xml:space="preserve">: Series B (Completed)</w:t>
      </w:r>
      <w:r>
        <w:t xml:space="preserve"> </w:t>
      </w:r>
      <w:r>
        <w:rPr>
          <w:b/>
          <w:bCs/>
        </w:rPr>
        <w:t xml:space="preserve">Amount raised</w:t>
      </w:r>
      <w:r>
        <w:t xml:space="preserve">: $100 million</w:t>
      </w:r>
      <w:r>
        <w:rPr>
          <w:rStyle w:val="FootnoteReference"/>
        </w:rPr>
        <w:footnoteReference w:id="187"/>
      </w:r>
      <w:r>
        <w:rPr>
          <w:rStyle w:val="FootnoteReference"/>
        </w:rPr>
        <w:footnoteReference w:id="188"/>
      </w:r>
      <w:r>
        <w:rPr>
          <w:rStyle w:val="FootnoteReference"/>
        </w:rPr>
        <w:footnoteReference w:id="189"/>
      </w:r>
      <w:r>
        <w:rPr>
          <w:rStyle w:val="FootnoteReference"/>
        </w:rPr>
        <w:footnoteReference w:id="190"/>
      </w:r>
      <w:r>
        <w:rPr>
          <w:rStyle w:val="FootnoteReference"/>
        </w:rPr>
        <w:footnoteReference w:id="191"/>
      </w:r>
      <w:r>
        <w:t xml:space="preserve"> </w:t>
      </w:r>
      <w:r>
        <w:rPr>
          <w:b/>
          <w:bCs/>
        </w:rPr>
        <w:t xml:space="preserve">Valuation</w:t>
      </w:r>
      <w:r>
        <w:t xml:space="preserve">: Not disclosed</w:t>
      </w:r>
      <w:r>
        <w:t xml:space="preserve"> </w:t>
      </w:r>
      <w:r>
        <w:rPr>
          <w:b/>
          <w:bCs/>
        </w:rPr>
        <w:t xml:space="preserve">Lead investor</w:t>
      </w:r>
      <w:r>
        <w:t xml:space="preserve">: Valor Equity Partners (backers of Tesla, SpaceX, Crusoe Energy, Extropic Labs - pattern of deep tech infrastructure investments)</w:t>
      </w:r>
      <w:r>
        <w:rPr>
          <w:rStyle w:val="FootnoteReference"/>
        </w:rPr>
        <w:footnoteReference w:id="192"/>
      </w:r>
      <w:r>
        <w:rPr>
          <w:rStyle w:val="FootnoteReference"/>
        </w:rPr>
        <w:footnoteReference w:id="193"/>
      </w:r>
      <w:r>
        <w:rPr>
          <w:rStyle w:val="FootnoteReference"/>
        </w:rPr>
        <w:footnoteReference w:id="194"/>
      </w:r>
      <w:r>
        <w:rPr>
          <w:rStyle w:val="FootnoteReference"/>
        </w:rPr>
        <w:footnoteReference w:id="195"/>
      </w:r>
      <w:r>
        <w:rPr>
          <w:rStyle w:val="FootnoteReference"/>
        </w:rPr>
        <w:footnoteReference w:id="196"/>
      </w:r>
    </w:p>
    <w:p>
      <w:pPr>
        <w:pStyle w:val="BodyText"/>
      </w:pPr>
      <w:r>
        <w:rPr>
          <w:b/>
          <w:bCs/>
        </w:rPr>
        <w:t xml:space="preserve">Use of funds</w:t>
      </w:r>
      <w:r>
        <w:t xml:space="preserve"> </w:t>
      </w:r>
      <w:r>
        <w:t xml:space="preserve">(inferred from milestones and statements):</w:t>
      </w:r>
      <w:r>
        <w:t xml:space="preserve"> </w:t>
      </w:r>
      <w:r>
        <w:t xml:space="preserve">-</w:t>
      </w:r>
      <w:r>
        <w:t xml:space="preserve"> </w:t>
      </w:r>
      <w:r>
        <w:rPr>
          <w:b/>
          <w:bCs/>
        </w:rPr>
        <w:t xml:space="preserve">Aalo-X development and testing</w:t>
      </w:r>
      <w:r>
        <w:t xml:space="preserve">: $30-40M (experimental reactor construction, INL site preparation, criticality testing campaign through 2026)</w:t>
      </w:r>
      <w:r>
        <w:rPr>
          <w:rStyle w:val="FootnoteReference"/>
        </w:rPr>
        <w:footnoteReference w:id="197"/>
      </w:r>
      <w:r>
        <w:rPr>
          <w:rStyle w:val="FootnoteReference"/>
        </w:rPr>
        <w:footnoteReference w:id="198"/>
      </w:r>
      <w:r>
        <w:rPr>
          <w:rStyle w:val="FootnoteReference"/>
        </w:rPr>
        <w:footnoteReference w:id="199"/>
      </w:r>
      <w:r>
        <w:t xml:space="preserve"> </w:t>
      </w:r>
      <w:r>
        <w:t xml:space="preserve">-</w:t>
      </w:r>
      <w:r>
        <w:t xml:space="preserve"> </w:t>
      </w:r>
      <w:r>
        <w:rPr>
          <w:b/>
          <w:bCs/>
        </w:rPr>
        <w:t xml:space="preserve">Pilot factory build-out and tooling</w:t>
      </w:r>
      <w:r>
        <w:t xml:space="preserve">: $20-30M (40,000 sq ft facility, manufacturing equipment, quality systems)</w:t>
      </w:r>
      <w:r>
        <w:rPr>
          <w:rStyle w:val="FootnoteReference"/>
        </w:rPr>
        <w:footnoteReference w:id="200"/>
      </w:r>
      <w:r>
        <w:rPr>
          <w:rStyle w:val="FootnoteReference"/>
        </w:rPr>
        <w:footnoteReference w:id="201"/>
      </w:r>
      <w:r>
        <w:t xml:space="preserve"> </w:t>
      </w:r>
      <w:r>
        <w:t xml:space="preserve">-</w:t>
      </w:r>
      <w:r>
        <w:t xml:space="preserve"> </w:t>
      </w:r>
      <w:r>
        <w:rPr>
          <w:b/>
          <w:bCs/>
        </w:rPr>
        <w:t xml:space="preserve">Regulatory and licensing</w:t>
      </w:r>
      <w:r>
        <w:t xml:space="preserve">: $10-15M (NRC pre-licensing engagement, design certification application preparation, DOE authorization process)</w:t>
      </w:r>
      <w:r>
        <w:rPr>
          <w:rStyle w:val="FootnoteReference"/>
        </w:rPr>
        <w:footnoteReference w:id="202"/>
      </w:r>
      <w:r>
        <w:rPr>
          <w:rStyle w:val="FootnoteReference"/>
        </w:rPr>
        <w:footnoteReference w:id="203"/>
      </w:r>
      <w:r>
        <w:rPr>
          <w:rStyle w:val="FootnoteReference"/>
        </w:rPr>
        <w:footnoteReference w:id="204"/>
      </w:r>
      <w:r>
        <w:t xml:space="preserve"> </w:t>
      </w:r>
      <w:r>
        <w:t xml:space="preserve">-</w:t>
      </w:r>
      <w:r>
        <w:t xml:space="preserve"> </w:t>
      </w:r>
      <w:r>
        <w:rPr>
          <w:b/>
          <w:bCs/>
        </w:rPr>
        <w:t xml:space="preserve">Team scaling</w:t>
      </w:r>
      <w:r>
        <w:t xml:space="preserve">: $15-20M (engineering, operations, regulatory, commercial hires over 18-24 months)</w:t>
      </w:r>
      <w:r>
        <w:rPr>
          <w:rStyle w:val="FootnoteReference"/>
        </w:rPr>
        <w:footnoteReference w:id="205"/>
      </w:r>
      <w:r>
        <w:rPr>
          <w:rStyle w:val="FootnoteReference"/>
        </w:rPr>
        <w:footnoteReference w:id="206"/>
      </w:r>
      <w:r>
        <w:t xml:space="preserve"> </w:t>
      </w:r>
      <w:r>
        <w:t xml:space="preserve">-</w:t>
      </w:r>
      <w:r>
        <w:t xml:space="preserve"> </w:t>
      </w:r>
      <w:r>
        <w:rPr>
          <w:b/>
          <w:bCs/>
        </w:rPr>
        <w:t xml:space="preserve">Working capital and contingency</w:t>
      </w:r>
      <w:r>
        <w:t xml:space="preserve">: $10-15M</w:t>
      </w:r>
    </w:p>
    <w:p>
      <w:pPr>
        <w:pStyle w:val="BodyText"/>
      </w:pPr>
      <w:r>
        <w:rPr>
          <w:b/>
          <w:bCs/>
        </w:rPr>
        <w:t xml:space="preserve">Prior funding</w:t>
      </w:r>
      <w:r>
        <w:t xml:space="preserve">:</w:t>
      </w:r>
      <w:r>
        <w:t xml:space="preserve"> </w:t>
      </w:r>
      <w:r>
        <w:t xml:space="preserve">-</w:t>
      </w:r>
      <w:r>
        <w:t xml:space="preserve"> </w:t>
      </w:r>
      <w:r>
        <w:rPr>
          <w:b/>
          <w:bCs/>
        </w:rPr>
        <w:t xml:space="preserve">Seed Round</w:t>
      </w:r>
      <w:r>
        <w:t xml:space="preserve"> </w:t>
      </w:r>
      <w:r>
        <w:t xml:space="preserve">(April 2023): $6.26M from Fine Structure Ventures, Kindred Ventures, 50Y (Fifty Years), Harpoon Ventures, Crescent Enterprises, Crosscut, Alumni Ventures, MCJ, Gaingels, Nucleation Capital</w:t>
      </w:r>
      <w:r>
        <w:rPr>
          <w:rStyle w:val="FootnoteReference"/>
        </w:rPr>
        <w:footnoteReference w:id="207"/>
      </w:r>
      <w:r>
        <w:rPr>
          <w:rStyle w:val="FootnoteReference"/>
        </w:rPr>
        <w:footnoteReference w:id="208"/>
      </w:r>
      <w:r>
        <w:rPr>
          <w:rStyle w:val="FootnoteReference"/>
        </w:rPr>
        <w:footnoteReference w:id="209"/>
      </w:r>
      <w:r>
        <w:t xml:space="preserve"> </w:t>
      </w:r>
      <w:r>
        <w:t xml:space="preserve">-</w:t>
      </w:r>
      <w:r>
        <w:t xml:space="preserve"> </w:t>
      </w:r>
      <w:r>
        <w:rPr>
          <w:b/>
          <w:bCs/>
        </w:rPr>
        <w:t xml:space="preserve">Series A</w:t>
      </w:r>
      <w:r>
        <w:t xml:space="preserve"> </w:t>
      </w:r>
      <w:r>
        <w:t xml:space="preserve">(2024): $30M (lead investor not disclosed)</w:t>
      </w:r>
      <w:r>
        <w:rPr>
          <w:rStyle w:val="FootnoteReference"/>
        </w:rPr>
        <w:footnoteReference w:id="210"/>
      </w:r>
      <w:r>
        <w:rPr>
          <w:rStyle w:val="FootnoteReference"/>
        </w:rPr>
        <w:footnoteReference w:id="211"/>
      </w:r>
      <w:r>
        <w:rPr>
          <w:rStyle w:val="FootnoteReference"/>
        </w:rPr>
        <w:footnoteReference w:id="212"/>
      </w:r>
      <w:r>
        <w:rPr>
          <w:rStyle w:val="FootnoteReference"/>
        </w:rPr>
        <w:footnoteReference w:id="213"/>
      </w:r>
      <w:r>
        <w:t xml:space="preserve"> </w:t>
      </w:r>
      <w:r>
        <w:t xml:space="preserve">-</w:t>
      </w:r>
      <w:r>
        <w:t xml:space="preserve"> </w:t>
      </w:r>
      <w:r>
        <w:rPr>
          <w:b/>
          <w:bCs/>
        </w:rPr>
        <w:t xml:space="preserve">Total raised</w:t>
      </w:r>
      <w:r>
        <w:t xml:space="preserve">: $136.26M across three rounds in 18 months</w:t>
      </w:r>
      <w:r>
        <w:rPr>
          <w:rStyle w:val="FootnoteReference"/>
        </w:rPr>
        <w:footnoteReference w:id="214"/>
      </w:r>
      <w:r>
        <w:rPr>
          <w:rStyle w:val="FootnoteReference"/>
        </w:rPr>
        <w:footnoteReference w:id="215"/>
      </w:r>
      <w:r>
        <w:rPr>
          <w:rStyle w:val="FootnoteReference"/>
        </w:rPr>
        <w:footnoteReference w:id="216"/>
      </w:r>
      <w:r>
        <w:rPr>
          <w:rStyle w:val="FootnoteReference"/>
        </w:rPr>
        <w:footnoteReference w:id="217"/>
      </w:r>
      <w:r>
        <w:rPr>
          <w:rStyle w:val="FootnoteReference"/>
        </w:rPr>
        <w:footnoteReference w:id="218"/>
      </w:r>
      <w:r>
        <w:rPr>
          <w:rStyle w:val="FootnoteReference"/>
        </w:rPr>
        <w:footnoteReference w:id="219"/>
      </w:r>
      <w:r>
        <w:rPr>
          <w:rStyle w:val="FootnoteReference"/>
        </w:rPr>
        <w:footnoteReference w:id="220"/>
      </w:r>
    </w:p>
    <w:p>
      <w:pPr>
        <w:pStyle w:val="BodyText"/>
      </w:pPr>
      <w:r>
        <w:rPr>
          <w:b/>
          <w:bCs/>
        </w:rPr>
        <w:t xml:space="preserve">Notable investors</w:t>
      </w:r>
      <w:r>
        <w:t xml:space="preserve">:</w:t>
      </w:r>
      <w:r>
        <w:t xml:space="preserve"> </w:t>
      </w:r>
      <w:r>
        <w:t xml:space="preserve">-</w:t>
      </w:r>
      <w:r>
        <w:t xml:space="preserve"> </w:t>
      </w:r>
      <w:r>
        <w:rPr>
          <w:b/>
          <w:bCs/>
        </w:rPr>
        <w:t xml:space="preserve">Valor Equity Partners</w:t>
      </w:r>
      <w:r>
        <w:t xml:space="preserve"> </w:t>
      </w:r>
      <w:r>
        <w:t xml:space="preserve">(Series B lead): Deep tech infrastructure specialist with Tesla, SpaceX, Crusoe Energy, Extropic Labs portfolio. Crusoe Energy (data center power) investment particularly relevant parallel</w:t>
      </w:r>
      <w:r>
        <w:rPr>
          <w:rStyle w:val="FootnoteReference"/>
        </w:rPr>
        <w:footnoteReference w:id="221"/>
      </w:r>
      <w:r>
        <w:rPr>
          <w:rStyle w:val="FootnoteReference"/>
        </w:rPr>
        <w:footnoteReference w:id="222"/>
      </w:r>
      <w:r>
        <w:rPr>
          <w:rStyle w:val="FootnoteReference"/>
        </w:rPr>
        <w:footnoteReference w:id="223"/>
      </w:r>
      <w:r>
        <w:rPr>
          <w:rStyle w:val="FootnoteReference"/>
        </w:rPr>
        <w:footnoteReference w:id="224"/>
      </w:r>
      <w:r>
        <w:rPr>
          <w:rStyle w:val="FootnoteReference"/>
        </w:rPr>
        <w:footnoteReference w:id="225"/>
      </w:r>
      <w:r>
        <w:t xml:space="preserve">.</w:t>
      </w:r>
      <w:r>
        <w:t xml:space="preserve"> </w:t>
      </w:r>
      <w:r>
        <w:t xml:space="preserve">-</w:t>
      </w:r>
      <w:r>
        <w:t xml:space="preserve"> </w:t>
      </w:r>
      <w:r>
        <w:rPr>
          <w:b/>
          <w:bCs/>
        </w:rPr>
        <w:t xml:space="preserve">Hitachi Ventures</w:t>
      </w:r>
      <w:r>
        <w:t xml:space="preserve">: Strategic investor from Hitachi, which has nuclear engineering division (GE Hitachi Nuclear Energy joint venture). Potential future partnership pathway for manufacturing or deployment</w:t>
      </w:r>
      <w:r>
        <w:rPr>
          <w:rStyle w:val="FootnoteReference"/>
        </w:rPr>
        <w:footnoteReference w:id="226"/>
      </w:r>
      <w:r>
        <w:rPr>
          <w:rStyle w:val="FootnoteReference"/>
        </w:rPr>
        <w:footnoteReference w:id="227"/>
      </w:r>
      <w:r>
        <w:t xml:space="preserve">.</w:t>
      </w:r>
      <w:r>
        <w:t xml:space="preserve"> </w:t>
      </w:r>
      <w:r>
        <w:t xml:space="preserve">-</w:t>
      </w:r>
      <w:r>
        <w:t xml:space="preserve"> </w:t>
      </w:r>
      <w:r>
        <w:rPr>
          <w:b/>
          <w:bCs/>
        </w:rPr>
        <w:t xml:space="preserve">NRG Energy</w:t>
      </w:r>
      <w:r>
        <w:t xml:space="preserve">: Major U.S. power generator with nuclear operations experience. Strategic validation and potential customer/partner</w:t>
      </w:r>
      <w:r>
        <w:rPr>
          <w:rStyle w:val="FootnoteReference"/>
        </w:rPr>
        <w:footnoteReference w:id="228"/>
      </w:r>
      <w:r>
        <w:rPr>
          <w:rStyle w:val="FootnoteReference"/>
        </w:rPr>
        <w:footnoteReference w:id="229"/>
      </w:r>
      <w:r>
        <w:t xml:space="preserve">.</w:t>
      </w:r>
      <w:r>
        <w:t xml:space="preserve"> </w:t>
      </w:r>
      <w:r>
        <w:t xml:space="preserve">-</w:t>
      </w:r>
      <w:r>
        <w:t xml:space="preserve"> </w:t>
      </w:r>
      <w:r>
        <w:rPr>
          <w:b/>
          <w:bCs/>
        </w:rPr>
        <w:t xml:space="preserve">Tishman Speyer</w:t>
      </w:r>
      <w:r>
        <w:t xml:space="preserve">: Real estate developer with data center properties. Potential customer for on-site power solutions</w:t>
      </w:r>
      <w:r>
        <w:rPr>
          <w:rStyle w:val="FootnoteReference"/>
        </w:rPr>
        <w:footnoteReference w:id="230"/>
      </w:r>
      <w:r>
        <w:rPr>
          <w:rStyle w:val="FootnoteReference"/>
        </w:rPr>
        <w:footnoteReference w:id="231"/>
      </w:r>
      <w:r>
        <w:t xml:space="preserve">.</w:t>
      </w:r>
      <w:r>
        <w:t xml:space="preserve"> </w:t>
      </w:r>
      <w:r>
        <w:t xml:space="preserve">-</w:t>
      </w:r>
      <w:r>
        <w:t xml:space="preserve"> </w:t>
      </w:r>
      <w:r>
        <w:rPr>
          <w:b/>
          <w:bCs/>
        </w:rPr>
        <w:t xml:space="preserve">Ontario Teachers’ Pension Plan</w:t>
      </w:r>
      <w:r>
        <w:t xml:space="preserve">: Large institutional investor with board representation, providing governance and long-term capital perspective</w:t>
      </w:r>
      <w:r>
        <w:rPr>
          <w:rStyle w:val="FootnoteReference"/>
        </w:rPr>
        <w:footnoteReference w:id="232"/>
      </w:r>
      <w:r>
        <w:rPr>
          <w:rStyle w:val="FootnoteReference"/>
        </w:rPr>
        <w:footnoteReference w:id="233"/>
      </w:r>
      <w:r>
        <w:t xml:space="preserve">.</w:t>
      </w:r>
      <w:r>
        <w:t xml:space="preserve"> </w:t>
      </w:r>
      <w:r>
        <w:t xml:space="preserve">-</w:t>
      </w:r>
      <w:r>
        <w:t xml:space="preserve"> </w:t>
      </w:r>
      <w:r>
        <w:rPr>
          <w:b/>
          <w:bCs/>
        </w:rPr>
        <w:t xml:space="preserve">Fine Structure Ventures, Kindred Ventures, Nucleation Capital</w:t>
      </w:r>
      <w:r>
        <w:t xml:space="preserve">: Climate tech specialist VCs with nuclear sector expertise and portfolio company network</w:t>
      </w:r>
      <w:r>
        <w:rPr>
          <w:rStyle w:val="FootnoteReference"/>
        </w:rPr>
        <w:footnoteReference w:id="234"/>
      </w:r>
      <w:r>
        <w:rPr>
          <w:rStyle w:val="FootnoteReference"/>
        </w:rPr>
        <w:footnoteReference w:id="235"/>
      </w:r>
      <w:r>
        <w:t xml:space="preserve">.</w:t>
      </w:r>
    </w:p>
    <w:p>
      <w:r>
        <w:pict>
          <v:rect style="width:0;height:1.5pt" o:hralign="center" o:hrstd="t" o:hr="t"/>
        </w:pict>
      </w:r>
    </w:p>
    <w:bookmarkEnd w:id="236"/>
    <w:bookmarkStart w:id="251" w:name="risks-mitigations"/>
    <w:p>
      <w:pPr>
        <w:pStyle w:val="Heading2"/>
      </w:pPr>
      <w:r>
        <w:t xml:space="preserve">8. Risks &amp; Mitigations</w:t>
      </w:r>
    </w:p>
    <w:p>
      <w:pPr>
        <w:numPr>
          <w:ilvl w:val="0"/>
          <w:numId w:val="1001"/>
        </w:numPr>
      </w:pPr>
      <w:r>
        <w:rPr>
          <w:b/>
          <w:bCs/>
        </w:rPr>
        <w:t xml:space="preserve">Regulatory Approval Timeline and Uncertainty</w:t>
      </w:r>
    </w:p>
    <w:p>
      <w:pPr>
        <w:numPr>
          <w:ilvl w:val="0"/>
          <w:numId w:val="1000"/>
        </w:numPr>
      </w:pPr>
      <w:r>
        <w:t xml:space="preserve">NRC design certification for new reactors historically takes 5-7 years and costs $500M-1B (based on NuScale’s experience). Even with DOE Pilot Program support and pre-licensing phase entry, commercial deployment authorization remains uncertain. NRC has rejected applications before (Oklo in 2022). Single technical finding or safety concern could extend timeline by years.</w:t>
      </w:r>
    </w:p>
    <w:p>
      <w:pPr>
        <w:numPr>
          <w:ilvl w:val="0"/>
          <w:numId w:val="1000"/>
        </w:numPr>
      </w:pPr>
      <w:r>
        <w:rPr>
          <w:i/>
          <w:iCs/>
        </w:rPr>
        <w:t xml:space="preserve">Mitigation</w:t>
      </w:r>
      <w:r>
        <w:t xml:space="preserve">: Early NRC engagement (pre-licensing phase July 2024) demonstrates proactive regulatory strategy. DOE Pilot Program selection provides government support and potential streamlined pathway. Team includes DOE veterans who understand regulatory process. Aalo-X experimental reactor at INL provides technical data to support NRC application before submitting commercial design certification. Idaho Falls Power MOU provides patient first customer willing to wait for regulatory approval. However, timeline risk remains substantial - investors should assume 2028-2030 for first commercial deployment, not 2026-2027</w:t>
      </w:r>
      <w:r>
        <w:rPr>
          <w:rStyle w:val="FootnoteReference"/>
        </w:rPr>
        <w:footnoteReference w:id="237"/>
      </w:r>
      <w:r>
        <w:rPr>
          <w:rStyle w:val="FootnoteReference"/>
        </w:rPr>
        <w:footnoteReference w:id="238"/>
      </w:r>
      <w:r>
        <w:rPr>
          <w:rStyle w:val="FootnoteReference"/>
        </w:rPr>
        <w:footnoteReference w:id="239"/>
      </w:r>
      <w:r>
        <w:t xml:space="preserve">.</w:t>
      </w:r>
    </w:p>
    <w:p>
      <w:pPr>
        <w:numPr>
          <w:ilvl w:val="0"/>
          <w:numId w:val="1001"/>
        </w:numPr>
      </w:pPr>
      <w:r>
        <w:rPr>
          <w:b/>
          <w:bCs/>
        </w:rPr>
        <w:t xml:space="preserve">Technical Execution on Aggressive Timeline</w:t>
      </w:r>
    </w:p>
    <w:p>
      <w:pPr>
        <w:numPr>
          <w:ilvl w:val="0"/>
          <w:numId w:val="1000"/>
        </w:numPr>
      </w:pPr>
      <w:r>
        <w:t xml:space="preserve">Zero-power criticality by summer 2026 for Aalo-X is extremely aggressive (30 months from Series B to criticality). First-of-a-kind reactors typically encounter unexpected technical issues requiring design modifications. The</w:t>
      </w:r>
      <w:r>
        <w:t xml:space="preserve"> </w:t>
      </w:r>
      <w:r>
        <w:t xml:space="preserve">“10x energy density”</w:t>
      </w:r>
      <w:r>
        <w:t xml:space="preserve"> </w:t>
      </w:r>
      <w:r>
        <w:t xml:space="preserve">claim, if not validated in testing, would undermine core value proposition. Manufacturing transition from prototype to serial production historically reveals quality and reliability issues (see early Tesla Model 3 production hell).</w:t>
      </w:r>
    </w:p>
    <w:p>
      <w:pPr>
        <w:numPr>
          <w:ilvl w:val="0"/>
          <w:numId w:val="1000"/>
        </w:numPr>
      </w:pPr>
      <w:r>
        <w:rPr>
          <w:i/>
          <w:iCs/>
        </w:rPr>
        <w:t xml:space="preserve">Mitigation</w:t>
      </w:r>
      <w:r>
        <w:t xml:space="preserve">: CTO and engineering leadership from INL MARVEL program brings experience with rapid reactor prototyping. DOE site assignment at INL provides access to world-class nuclear facilities and expertise. Preliminary Design Review completion suggests design maturity. However, technical risk remains high until Aalo-X successfully operates. Investors should monitor: (1) Aalo-X construction timeline adherence, (2) any design changes emerging from testing, (3) actual power density achieved versus claims, (4) pilot factory yield rates and quality metrics</w:t>
      </w:r>
      <w:r>
        <w:rPr>
          <w:rStyle w:val="FootnoteReference"/>
        </w:rPr>
        <w:footnoteReference w:id="240"/>
      </w:r>
      <w:r>
        <w:rPr>
          <w:rStyle w:val="FootnoteReference"/>
        </w:rPr>
        <w:footnoteReference w:id="241"/>
      </w:r>
      <w:r>
        <w:rPr>
          <w:rStyle w:val="FootnoteReference"/>
        </w:rPr>
        <w:footnoteReference w:id="242"/>
      </w:r>
      <w:r>
        <w:t xml:space="preserve">.</w:t>
      </w:r>
    </w:p>
    <w:p>
      <w:pPr>
        <w:numPr>
          <w:ilvl w:val="0"/>
          <w:numId w:val="1001"/>
        </w:numPr>
      </w:pPr>
      <w:r>
        <w:rPr>
          <w:b/>
          <w:bCs/>
        </w:rPr>
        <w:t xml:space="preserve">Market Adoption and Customer Concentration</w:t>
      </w:r>
    </w:p>
    <w:p>
      <w:pPr>
        <w:numPr>
          <w:ilvl w:val="0"/>
          <w:numId w:val="1000"/>
        </w:numPr>
      </w:pPr>
      <w:r>
        <w:t xml:space="preserve">Only one confirmed customer (Idaho Falls Power for seven units). Hyperscaler interest implied but not confirmed publicly. Nuclear power faces public perception challenges and NIMBY opposition, even for advanced designs. Data center operators may prefer grid connection or natural gas despite longer timelines if nuclear faces local opposition. Customer concentration risk: if Idaho Falls Power project fails or delays, company loses reference customer and market credibility.</w:t>
      </w:r>
    </w:p>
    <w:p>
      <w:pPr>
        <w:numPr>
          <w:ilvl w:val="0"/>
          <w:numId w:val="1000"/>
        </w:numPr>
      </w:pPr>
      <w:r>
        <w:rPr>
          <w:i/>
          <w:iCs/>
        </w:rPr>
        <w:t xml:space="preserve">Mitigation</w:t>
      </w:r>
      <w:r>
        <w:t xml:space="preserve">: CEO’s Microsoft/Google/Amazon background provides direct access to hyperscaler decision-makers. Founding team’s customer insight from years of being the customer should accelerate product-market fit. Texas and Idaho state legislation supporting nuclear creates favorable deployment environments. Texas Nuclear Alliance membership provides policy advocacy platform. However, company needs to announce additional customers (especially hyperscaler data center application) within next 12 months to validate market demand beyond single municipal utility. Lack of announced hyperscaler partnerships despite founder backgrounds is notable gap</w:t>
      </w:r>
      <w:r>
        <w:rPr>
          <w:rStyle w:val="FootnoteReference"/>
        </w:rPr>
        <w:footnoteReference w:id="243"/>
      </w:r>
      <w:r>
        <w:rPr>
          <w:rStyle w:val="FootnoteReference"/>
        </w:rPr>
        <w:footnoteReference w:id="244"/>
      </w:r>
      <w:r>
        <w:t xml:space="preserve">.</w:t>
      </w:r>
    </w:p>
    <w:p>
      <w:pPr>
        <w:numPr>
          <w:ilvl w:val="0"/>
          <w:numId w:val="1001"/>
        </w:numPr>
      </w:pPr>
      <w:r>
        <w:rPr>
          <w:b/>
          <w:bCs/>
        </w:rPr>
        <w:t xml:space="preserve">Competition from Established Nuclear Vendors and Well-Funded SMR Startups</w:t>
      </w:r>
    </w:p>
    <w:p>
      <w:pPr>
        <w:numPr>
          <w:ilvl w:val="0"/>
          <w:numId w:val="1000"/>
        </w:numPr>
      </w:pPr>
      <w:r>
        <w:t xml:space="preserve">NuScale has NRC design certification (significant regulatory moat) despite UAMPS project cancellation. TerraPower has $1B+ funding from Bill Gates and utility partnerships. X-energy has DOE ARDP funding and Dow Chemical anchor customer. Oklo, despite NRC setback, has $850M SPAC and Sam Altman backing. Traditional nuclear vendors (Westinghouse, GE Hitachi) developing SMR offerings with decades of operational experience. If competitors reach commercial deployment first, they establish regulatory precedent and operational track record that creates market momentum.</w:t>
      </w:r>
    </w:p>
    <w:p>
      <w:pPr>
        <w:numPr>
          <w:ilvl w:val="0"/>
          <w:numId w:val="1000"/>
        </w:numPr>
      </w:pPr>
      <w:r>
        <w:rPr>
          <w:i/>
          <w:iCs/>
        </w:rPr>
        <w:t xml:space="preserve">Mitigation</w:t>
      </w:r>
      <w:r>
        <w:t xml:space="preserve">: Aalo’s data center focus and 50 MWe sizing differentiates from utility-scale competitors (TerraPower 345 MWe) and microreactor competitors (Oklo 15 MWe). 12-month delivery claim, if achieved, beats competitors’ 5-7 year timelines. Factory manufacturing approach enables cost reduction through volume that site-built competitors cannot match. Valor Equity Partners (Tesla/SpaceX investor) brings experience scaling manufacturing-intensive hardware businesses. However, competitive risk requires monitoring: (1) competitor regulatory milestones, (2) competitor customer announcements, (3) first commercial deployments by any advanced reactor company (creates regulatory pathway for others), (4) hyperscaler power procurement decisions (grid, gas, nuclear, renewables+storage trade-offs)</w:t>
      </w:r>
      <w:r>
        <w:rPr>
          <w:rStyle w:val="FootnoteReference"/>
        </w:rPr>
        <w:footnoteReference w:id="245"/>
      </w:r>
      <w:r>
        <w:rPr>
          <w:rStyle w:val="FootnoteReference"/>
        </w:rPr>
        <w:footnoteReference w:id="246"/>
      </w:r>
      <w:r>
        <w:t xml:space="preserve">.</w:t>
      </w:r>
    </w:p>
    <w:p>
      <w:pPr>
        <w:numPr>
          <w:ilvl w:val="0"/>
          <w:numId w:val="1001"/>
        </w:numPr>
      </w:pPr>
      <w:r>
        <w:rPr>
          <w:b/>
          <w:bCs/>
        </w:rPr>
        <w:t xml:space="preserve">Capital Intensity and Path to Profitability</w:t>
      </w:r>
    </w:p>
    <w:p>
      <w:pPr>
        <w:numPr>
          <w:ilvl w:val="0"/>
          <w:numId w:val="1000"/>
        </w:numPr>
      </w:pPr>
      <w:r>
        <w:t xml:space="preserve">Nuclear reactor development requires enormous capital before first revenue. Aalo has raised $136M but will likely need $300-500M+ total to reach commercial deployment at scale. Series B valuation not disclosed, but dilution risk for early investors if multiple additional rounds required. First-of-a-kind units typically unprofitable; gross margins depend on achieving manufacturing scale (dozens of units). If deployment delays or customer adoption slower than projected, burn rate could necessitate down-round or strategic sale.</w:t>
      </w:r>
    </w:p>
    <w:p>
      <w:pPr>
        <w:numPr>
          <w:ilvl w:val="0"/>
          <w:numId w:val="1000"/>
        </w:numPr>
      </w:pPr>
      <w:r>
        <w:rPr>
          <w:i/>
          <w:iCs/>
        </w:rPr>
        <w:t xml:space="preserve">Mitigation</w:t>
      </w:r>
      <w:r>
        <w:t xml:space="preserve">: Strong investor syndicate including Valor Equity Partners (deep pockets, patient capital), Hitachi Ventures (strategic), NRG Energy (strategic), Ontario Teachers’ Pension Plan (institutional) suggests ability to raise additional capital. DOE Pilot Program may provide non-dilutive funding for Aalo-X development. Idaho Falls Power MOU with 80-year potential relationship provides long-term revenue visibility. However, investors should assume company will need at least one more large funding round ($150-300M Series C) before reaching cash flow positive. Path to profitability likely 2028-2030 at earliest, requiring patient capital and strong balance sheet management</w:t>
      </w:r>
      <w:r>
        <w:rPr>
          <w:rStyle w:val="FootnoteReference"/>
        </w:rPr>
        <w:footnoteReference w:id="247"/>
      </w:r>
      <w:r>
        <w:rPr>
          <w:rStyle w:val="FootnoteReference"/>
        </w:rPr>
        <w:footnoteReference w:id="248"/>
      </w:r>
      <w:r>
        <w:t xml:space="preserve">.</w:t>
      </w:r>
    </w:p>
    <w:p>
      <w:pPr>
        <w:numPr>
          <w:ilvl w:val="0"/>
          <w:numId w:val="1001"/>
        </w:numPr>
      </w:pPr>
      <w:r>
        <w:rPr>
          <w:b/>
          <w:bCs/>
        </w:rPr>
        <w:t xml:space="preserve">Supply Chain and Manufacturing Scaling Risk</w:t>
      </w:r>
    </w:p>
    <w:p>
      <w:pPr>
        <w:numPr>
          <w:ilvl w:val="0"/>
          <w:numId w:val="1000"/>
        </w:numPr>
      </w:pPr>
      <w:r>
        <w:t xml:space="preserve">Nuclear-grade components require specialized suppliers with NQA-1 quality certifications. Fuel fabrication requires licensed facilities with limited capacity. Even</w:t>
      </w:r>
      <w:r>
        <w:t xml:space="preserve"> </w:t>
      </w:r>
      <w:r>
        <w:t xml:space="preserve">“readily available”</w:t>
      </w:r>
      <w:r>
        <w:t xml:space="preserve"> </w:t>
      </w:r>
      <w:r>
        <w:t xml:space="preserve">uranium fuel forms face supply constraints if multiple SMR companies scale simultaneously. Pilot factory is 40,000 sq ft, but serial production may require 200,000+ sq ft and $500M+ in tooling. Manufacturing defects in nuclear components carry catastrophic safety and regulatory consequences.</w:t>
      </w:r>
    </w:p>
    <w:p>
      <w:pPr>
        <w:numPr>
          <w:ilvl w:val="0"/>
          <w:numId w:val="1000"/>
        </w:numPr>
      </w:pPr>
      <w:r>
        <w:rPr>
          <w:i/>
          <w:iCs/>
        </w:rPr>
        <w:t xml:space="preserve">Mitigation</w:t>
      </w:r>
      <w:r>
        <w:t xml:space="preserve">: Team includes manufacturing expertise from Bloom Energy (scaled fuel cell production). Modular design enables factory production and quality control versus on-site construction. Early manufacturing and fuel fabrication begun for Aalo-X demonstrates supply chain development in progress. However, supply chain risk requires monitoring: (1) pilot factory yield rates and quality metrics, (2) supplier qualification progress, (3) fuel fabrication capacity commitments, (4) manufacturing CapEx requirements for scaling beyond pilot. Company should publish manufacturing readiness assessments and supply chain roadmaps to build investor confidence</w:t>
      </w:r>
      <w:r>
        <w:rPr>
          <w:rStyle w:val="FootnoteReference"/>
        </w:rPr>
        <w:footnoteReference w:id="249"/>
      </w:r>
      <w:r>
        <w:rPr>
          <w:rStyle w:val="FootnoteReference"/>
        </w:rPr>
        <w:footnoteReference w:id="250"/>
      </w:r>
      <w:r>
        <w:t xml:space="preserve">.</w:t>
      </w:r>
    </w:p>
    <w:p>
      <w:r>
        <w:pict>
          <v:rect style="width:0;height:1.5pt" o:hralign="center" o:hrstd="t" o:hr="t"/>
        </w:pict>
      </w:r>
    </w:p>
    <w:bookmarkEnd w:id="251"/>
    <w:bookmarkStart w:id="278" w:name="investment-thesis"/>
    <w:p>
      <w:pPr>
        <w:pStyle w:val="Heading2"/>
      </w:pPr>
      <w:r>
        <w:t xml:space="preserve">9. Investment Thesis</w:t>
      </w:r>
    </w:p>
    <w:p>
      <w:pPr>
        <w:pStyle w:val="FirstParagraph"/>
      </w:pPr>
      <w:r>
        <w:rPr>
          <w:b/>
          <w:bCs/>
        </w:rPr>
        <w:t xml:space="preserve">Why now</w:t>
      </w:r>
      <w:r>
        <w:t xml:space="preserve">:</w:t>
      </w:r>
      <w:r>
        <w:t xml:space="preserve"> </w:t>
      </w:r>
      <w:r>
        <w:t xml:space="preserve">Three forces converging create unique timing window. First, AI compute scaling is hitting power constraints - hyperscalers publicly stating data center power as primary bottleneck to AI deployment. Microsoft’s 2023 commitment to 10.5 GW clean energy procurement and Google’s 24/7 carbon-free energy goals signal massive demand. Second, regulatory environment most favorable in decades - multiple Presidential Executive Orders, DOE Pilot Program, Texas and Idaho state legislation, NRC showing willingness to engage with advanced reactor designs. Third, manufacturing technology and supply chains matured sufficiently to enable factory-based reactor production (CNC machining, additive manufacturing, quality control systems) that wasn’t economically feasible 10 years ago. Window may close if: (1) grid capacity expands faster than expected, (2) renewables + storage economics improve dramatically, (3) regulatory environment shifts, or (4) nuclear incident anywhere globally creates political backlash</w:t>
      </w:r>
      <w:r>
        <w:rPr>
          <w:rStyle w:val="FootnoteReference"/>
        </w:rPr>
        <w:footnoteReference w:id="252"/>
      </w:r>
      <w:r>
        <w:rPr>
          <w:rStyle w:val="FootnoteReference"/>
        </w:rPr>
        <w:footnoteReference w:id="253"/>
      </w:r>
      <w:r>
        <w:rPr>
          <w:rStyle w:val="FootnoteReference"/>
        </w:rPr>
        <w:footnoteReference w:id="254"/>
      </w:r>
      <w:r>
        <w:rPr>
          <w:rStyle w:val="FootnoteReference"/>
        </w:rPr>
        <w:footnoteReference w:id="255"/>
      </w:r>
      <w:r>
        <w:rPr>
          <w:rStyle w:val="FootnoteReference"/>
        </w:rPr>
        <w:footnoteReference w:id="256"/>
      </w:r>
      <w:r>
        <w:t xml:space="preserve">.</w:t>
      </w:r>
    </w:p>
    <w:p>
      <w:pPr>
        <w:pStyle w:val="BodyText"/>
      </w:pPr>
      <w:r>
        <w:rPr>
          <w:b/>
          <w:bCs/>
        </w:rPr>
        <w:t xml:space="preserve">Why this team</w:t>
      </w:r>
      <w:r>
        <w:t xml:space="preserve">:</w:t>
      </w:r>
      <w:r>
        <w:t xml:space="preserve"> </w:t>
      </w:r>
      <w:r>
        <w:t xml:space="preserve">Founder-market fit is exceptional. CEO spent years as Director of Energy at Microsoft, Google, and Amazon - he knows hyperscaler energy procurement because he ran it. This provides customer insight, relationship access, and credibility that pure nuclear engineers lack. CTO from INL MARVEL program brings technical credibility and DOE/national lab relationships critical for regulatory navigation. Combination of</w:t>
      </w:r>
      <w:r>
        <w:t xml:space="preserve"> </w:t>
      </w:r>
      <w:r>
        <w:t xml:space="preserve">“customer who became founder”</w:t>
      </w:r>
      <w:r>
        <w:t xml:space="preserve"> </w:t>
      </w:r>
      <w:r>
        <w:t xml:space="preserve">(Loszak) and</w:t>
      </w:r>
      <w:r>
        <w:t xml:space="preserve"> </w:t>
      </w:r>
      <w:r>
        <w:t xml:space="preserve">“national lab researcher who became entrepreneur”</w:t>
      </w:r>
      <w:r>
        <w:t xml:space="preserve"> </w:t>
      </w:r>
      <w:r>
        <w:t xml:space="preserve">(Arafat) is rare and powerful. Team assembly shows sophistication: DOE veterans for regulatory, Bloom Energy/GE Hitachi veterans for commercialization, MARVEL engineers for technical execution. Early NRC engagement and DOE Pilot Program selection in first 18 months demonstrates execution capability</w:t>
      </w:r>
      <w:r>
        <w:rPr>
          <w:rStyle w:val="FootnoteReference"/>
        </w:rPr>
        <w:footnoteReference w:id="257"/>
      </w:r>
      <w:r>
        <w:rPr>
          <w:rStyle w:val="FootnoteReference"/>
        </w:rPr>
        <w:footnoteReference w:id="258"/>
      </w:r>
      <w:r>
        <w:t xml:space="preserve">.</w:t>
      </w:r>
    </w:p>
    <w:p>
      <w:pPr>
        <w:pStyle w:val="BodyText"/>
      </w:pPr>
      <w:r>
        <w:rPr>
          <w:b/>
          <w:bCs/>
        </w:rPr>
        <w:t xml:space="preserve">Why this approach</w:t>
      </w:r>
      <w:r>
        <w:t xml:space="preserve">:</w:t>
      </w:r>
      <w:r>
        <w:t xml:space="preserve"> </w:t>
      </w:r>
      <w:r>
        <w:t xml:space="preserve">Data center-specific sizing (50 MWe) hits sweet spot: large enough for economics, small enough for site constraints and regulatory path. Factory manufacturing enables cost reduction through volume and avoids on-site construction delays that plague traditional nuclear. 12-month delivery claim, if achieved, transforms nuclear from 5-7 year capital project to 12-month equipment purchase - fundamentally different customer decision process.</w:t>
      </w:r>
      <w:r>
        <w:t xml:space="preserve"> </w:t>
      </w:r>
      <w:r>
        <w:t xml:space="preserve">“10x energy density”</w:t>
      </w:r>
      <w:r>
        <w:t xml:space="preserve"> </w:t>
      </w:r>
      <w:r>
        <w:t xml:space="preserve">claim, if validated, provides significant footprint advantage for space-constrained data center sites. Modular approach enables incremental capacity additions (add pods as compute scales) versus lumpy utility-scale projects. Regulatory strategy sophisticated: experimental reactor first (Aalo-X) to generate safety data before commercial application, DOE Pilot Program participation for government support, early NRC pre-licensing engagement</w:t>
      </w:r>
      <w:r>
        <w:rPr>
          <w:rStyle w:val="FootnoteReference"/>
        </w:rPr>
        <w:footnoteReference w:id="259"/>
      </w:r>
      <w:r>
        <w:rPr>
          <w:rStyle w:val="FootnoteReference"/>
        </w:rPr>
        <w:footnoteReference w:id="260"/>
      </w:r>
      <w:r>
        <w:rPr>
          <w:rStyle w:val="FootnoteReference"/>
        </w:rPr>
        <w:footnoteReference w:id="261"/>
      </w:r>
      <w:r>
        <w:t xml:space="preserve">.</w:t>
      </w:r>
    </w:p>
    <w:p>
      <w:pPr>
        <w:pStyle w:val="BodyText"/>
      </w:pPr>
      <w:r>
        <w:rPr>
          <w:b/>
          <w:bCs/>
        </w:rPr>
        <w:t xml:space="preserve">Key assumptions</w:t>
      </w:r>
      <w:r>
        <w:t xml:space="preserve">:</w:t>
      </w:r>
      <w:r>
        <w:t xml:space="preserve"> </w:t>
      </w:r>
      <w:r>
        <w:t xml:space="preserve">-</w:t>
      </w:r>
      <w:r>
        <w:t xml:space="preserve"> </w:t>
      </w:r>
      <w:r>
        <w:rPr>
          <w:b/>
          <w:bCs/>
        </w:rPr>
        <w:t xml:space="preserve">Regulatory timeline</w:t>
      </w:r>
      <w:r>
        <w:t xml:space="preserve">: Assume 2028-2030 for first commercial deployment (NRC design certification), not 2026-2027. DOE Pilot Program may accelerate but not eliminate multi-year regulatory process</w:t>
      </w:r>
      <w:r>
        <w:rPr>
          <w:rStyle w:val="FootnoteReference"/>
        </w:rPr>
        <w:footnoteReference w:id="262"/>
      </w:r>
      <w:r>
        <w:rPr>
          <w:rStyle w:val="FootnoteReference"/>
        </w:rPr>
        <w:footnoteReference w:id="263"/>
      </w:r>
      <w:r>
        <w:rPr>
          <w:rStyle w:val="FootnoteReference"/>
        </w:rPr>
        <w:footnoteReference w:id="264"/>
      </w:r>
      <w:r>
        <w:t xml:space="preserve">.</w:t>
      </w:r>
      <w:r>
        <w:t xml:space="preserve"> </w:t>
      </w:r>
      <w:r>
        <w:t xml:space="preserve">-</w:t>
      </w:r>
      <w:r>
        <w:t xml:space="preserve"> </w:t>
      </w:r>
      <w:r>
        <w:rPr>
          <w:b/>
          <w:bCs/>
        </w:rPr>
        <w:t xml:space="preserve">Technical validation</w:t>
      </w:r>
      <w:r>
        <w:t xml:space="preserve">: Aalo-X successfully achieves criticality summer 2026 and validates power density claims within 20% of projections. Design modifications required but do not fundamentally change economics or timeline</w:t>
      </w:r>
      <w:r>
        <w:rPr>
          <w:rStyle w:val="FootnoteReference"/>
        </w:rPr>
        <w:footnoteReference w:id="265"/>
      </w:r>
      <w:r>
        <w:rPr>
          <w:rStyle w:val="FootnoteReference"/>
        </w:rPr>
        <w:footnoteReference w:id="266"/>
      </w:r>
      <w:r>
        <w:rPr>
          <w:rStyle w:val="FootnoteReference"/>
        </w:rPr>
        <w:footnoteReference w:id="267"/>
      </w:r>
      <w:r>
        <w:t xml:space="preserve">.</w:t>
      </w:r>
      <w:r>
        <w:t xml:space="preserve"> </w:t>
      </w:r>
      <w:r>
        <w:t xml:space="preserve">-</w:t>
      </w:r>
      <w:r>
        <w:t xml:space="preserve"> </w:t>
      </w:r>
      <w:r>
        <w:rPr>
          <w:b/>
          <w:bCs/>
        </w:rPr>
        <w:t xml:space="preserve">Customer adoption</w:t>
      </w:r>
      <w:r>
        <w:t xml:space="preserve">: At least 2-3 hyperscaler customers announce commitments by end of 2025 (beyond Idaho Falls Power). Data center application proves more attractive than utility-scale initially</w:t>
      </w:r>
      <w:r>
        <w:rPr>
          <w:rStyle w:val="FootnoteReference"/>
        </w:rPr>
        <w:footnoteReference w:id="268"/>
      </w:r>
      <w:r>
        <w:rPr>
          <w:rStyle w:val="FootnoteReference"/>
        </w:rPr>
        <w:footnoteReference w:id="269"/>
      </w:r>
      <w:r>
        <w:t xml:space="preserve">.</w:t>
      </w:r>
      <w:r>
        <w:t xml:space="preserve"> </w:t>
      </w:r>
      <w:r>
        <w:t xml:space="preserve">-</w:t>
      </w:r>
      <w:r>
        <w:t xml:space="preserve"> </w:t>
      </w:r>
      <w:r>
        <w:rPr>
          <w:b/>
          <w:bCs/>
        </w:rPr>
        <w:t xml:space="preserve">Manufacturing scaling</w:t>
      </w:r>
      <w:r>
        <w:t xml:space="preserve">: Pilot factory achieves acceptable yield rates (&gt;80%) by 2026. Series C round ($150-300M) successfully raised in 2025-2026 to fund manufacturing scale-up</w:t>
      </w:r>
      <w:r>
        <w:rPr>
          <w:rStyle w:val="FootnoteReference"/>
        </w:rPr>
        <w:footnoteReference w:id="270"/>
      </w:r>
      <w:r>
        <w:rPr>
          <w:rStyle w:val="FootnoteReference"/>
        </w:rPr>
        <w:footnoteReference w:id="271"/>
      </w:r>
      <w:r>
        <w:t xml:space="preserve">.</w:t>
      </w:r>
      <w:r>
        <w:t xml:space="preserve"> </w:t>
      </w:r>
      <w:r>
        <w:t xml:space="preserve">-</w:t>
      </w:r>
      <w:r>
        <w:t xml:space="preserve"> </w:t>
      </w:r>
      <w:r>
        <w:rPr>
          <w:b/>
          <w:bCs/>
        </w:rPr>
        <w:t xml:space="preserve">Competitive dynamics</w:t>
      </w:r>
      <w:r>
        <w:t xml:space="preserve">: No competitor achieves commercial deployment before 2028, giving Aalo time to complete regulatory process. NuScale’s design certification provides regulatory pathway that benefits all SMR companies including Aalo</w:t>
      </w:r>
      <w:r>
        <w:rPr>
          <w:rStyle w:val="FootnoteReference"/>
        </w:rPr>
        <w:footnoteReference w:id="272"/>
      </w:r>
      <w:r>
        <w:rPr>
          <w:rStyle w:val="FootnoteReference"/>
        </w:rPr>
        <w:footnoteReference w:id="273"/>
      </w:r>
      <w:r>
        <w:t xml:space="preserve">.</w:t>
      </w:r>
      <w:r>
        <w:t xml:space="preserve"> </w:t>
      </w:r>
      <w:r>
        <w:t xml:space="preserve">-</w:t>
      </w:r>
      <w:r>
        <w:t xml:space="preserve"> </w:t>
      </w:r>
      <w:r>
        <w:rPr>
          <w:b/>
          <w:bCs/>
        </w:rPr>
        <w:t xml:space="preserve">Policy stability</w:t>
      </w:r>
      <w:r>
        <w:t xml:space="preserve">: Presidential Executive Orders and state legislation supporting nuclear remain in place through 2028+ regardless of political changes. No major nuclear incidents globally that shift public opinion</w:t>
      </w:r>
      <w:r>
        <w:rPr>
          <w:rStyle w:val="FootnoteReference"/>
        </w:rPr>
        <w:footnoteReference w:id="274"/>
      </w:r>
      <w:r>
        <w:rPr>
          <w:rStyle w:val="FootnoteReference"/>
        </w:rPr>
        <w:footnoteReference w:id="275"/>
      </w:r>
      <w:r>
        <w:rPr>
          <w:rStyle w:val="FootnoteReference"/>
        </w:rPr>
        <w:footnoteReference w:id="276"/>
      </w:r>
      <w:r>
        <w:rPr>
          <w:rStyle w:val="FootnoteReference"/>
        </w:rPr>
        <w:footnoteReference w:id="277"/>
      </w:r>
      <w:r>
        <w:t xml:space="preserve">.</w:t>
      </w:r>
    </w:p>
    <w:p>
      <w:r>
        <w:pict>
          <v:rect style="width:0;height:1.5pt" o:hralign="center" o:hrstd="t" o:hr="t"/>
        </w:pict>
      </w:r>
    </w:p>
    <w:bookmarkEnd w:id="278"/>
    <w:bookmarkStart w:id="303" w:name="recommendation"/>
    <w:p>
      <w:pPr>
        <w:pStyle w:val="Heading2"/>
      </w:pPr>
      <w:r>
        <w:t xml:space="preserve">10. Recommendation</w:t>
      </w:r>
    </w:p>
    <w:p>
      <w:pPr>
        <w:pStyle w:val="FirstParagraph"/>
      </w:pPr>
      <w:r>
        <w:rPr>
          <w:b/>
          <w:bCs/>
        </w:rPr>
        <w:t xml:space="preserve">Decision</w:t>
      </w:r>
      <w:r>
        <w:t xml:space="preserve">: STRONG REFERENCE CASE (Series B already closed, but valuable for future nuclear infrastructure investments and potential follow-on opportunities)</w:t>
      </w:r>
    </w:p>
    <w:p>
      <w:pPr>
        <w:pStyle w:val="BodyText"/>
      </w:pPr>
      <w:r>
        <w:rPr>
          <w:b/>
          <w:bCs/>
        </w:rPr>
        <w:t xml:space="preserve">Rationale</w:t>
      </w:r>
      <w:r>
        <w:t xml:space="preserve">:</w:t>
      </w:r>
      <w:r>
        <w:t xml:space="preserve"> </w:t>
      </w:r>
      <w:r>
        <w:t xml:space="preserve">Aalo Atomics represents one of the most compelling nuclear startups due to exceptional founder-market fit (CEO’s hyperscaler energy procurement background), sophisticated regulatory strategy (early NRC engagement, DOE Pilot Program), and strong investor syndicate (Valor Equity Partners, strategic corporates). The $136M raised across 18 months and progression from founding to NRC pre-licensing phase demonstrates execution capability. However, investment at this stage faces substantial risks: 5-7 year regulatory timeline to commercial deployment, technical validation still pending (Aalo-X criticality 2026), single confirmed customer, and capital intensity requiring likely $300-500M total before profitability</w:t>
      </w:r>
      <w:r>
        <w:rPr>
          <w:rStyle w:val="FootnoteReference"/>
        </w:rPr>
        <w:footnoteReference w:id="279"/>
      </w:r>
      <w:r>
        <w:rPr>
          <w:rStyle w:val="FootnoteReference"/>
        </w:rPr>
        <w:footnoteReference w:id="280"/>
      </w:r>
      <w:r>
        <w:rPr>
          <w:rStyle w:val="FootnoteReference"/>
        </w:rPr>
        <w:footnoteReference w:id="281"/>
      </w:r>
      <w:r>
        <w:rPr>
          <w:rStyle w:val="FootnoteReference"/>
        </w:rPr>
        <w:footnoteReference w:id="282"/>
      </w:r>
      <w:r>
        <w:rPr>
          <w:rStyle w:val="FootnoteReference"/>
        </w:rPr>
        <w:footnoteReference w:id="283"/>
      </w:r>
      <w:r>
        <w:rPr>
          <w:rStyle w:val="FootnoteReference"/>
        </w:rPr>
        <w:footnoteReference w:id="284"/>
      </w:r>
      <w:r>
        <w:t xml:space="preserve">.</w:t>
      </w:r>
    </w:p>
    <w:p>
      <w:pPr>
        <w:pStyle w:val="BodyText"/>
      </w:pPr>
      <w:r>
        <w:t xml:space="preserve">For Hypernova’s portfolio strategy, Aalo represents the type of infrastructure-scale deep tech investment that requires: (1) patient capital with 7-10 year horizon, (2) ability to participate in large follow-on rounds ($150-300M Series C likely), (3) comfort with binary regulatory risk, and (4) conviction in nuclear power’s role in AI infrastructure. The Series B is closed, but company should be tracked closely for: (1) Aalo-X technical milestones through 2026, (2) additional customer announcements (especially hyperscaler data center applications), (3) Series C timing and terms, (4) competitive dynamics as other SMR companies progress toward deployment</w:t>
      </w:r>
      <w:r>
        <w:rPr>
          <w:rStyle w:val="FootnoteReference"/>
        </w:rPr>
        <w:footnoteReference w:id="285"/>
      </w:r>
      <w:r>
        <w:rPr>
          <w:rStyle w:val="FootnoteReference"/>
        </w:rPr>
        <w:footnoteReference w:id="286"/>
      </w:r>
      <w:r>
        <w:t xml:space="preserve">.</w:t>
      </w:r>
    </w:p>
    <w:p>
      <w:pPr>
        <w:pStyle w:val="BodyText"/>
      </w:pPr>
      <w:r>
        <w:rPr>
          <w:b/>
          <w:bCs/>
        </w:rPr>
        <w:t xml:space="preserve">Next steps</w:t>
      </w:r>
      <w:r>
        <w:t xml:space="preserve">:</w:t>
      </w:r>
      <w:r>
        <w:t xml:space="preserve"> </w:t>
      </w:r>
      <w:r>
        <w:t xml:space="preserve">-</w:t>
      </w:r>
      <w:r>
        <w:t xml:space="preserve"> </w:t>
      </w:r>
      <w:r>
        <w:rPr>
          <w:b/>
          <w:bCs/>
        </w:rPr>
        <w:t xml:space="preserve">Relationship building</w:t>
      </w:r>
      <w:r>
        <w:t xml:space="preserve">: Establish connection with Matt Loszak (CEO) and Yasir Arafat (CTO) for ongoing updates and potential Series C access</w:t>
      </w:r>
      <w:r>
        <w:rPr>
          <w:rStyle w:val="FootnoteReference"/>
        </w:rPr>
        <w:footnoteReference w:id="287"/>
      </w:r>
      <w:r>
        <w:rPr>
          <w:rStyle w:val="FootnoteReference"/>
        </w:rPr>
        <w:footnoteReference w:id="288"/>
      </w:r>
      <w:r>
        <w:t xml:space="preserve"> </w:t>
      </w:r>
      <w:r>
        <w:t xml:space="preserve">-</w:t>
      </w:r>
      <w:r>
        <w:t xml:space="preserve"> </w:t>
      </w:r>
      <w:r>
        <w:rPr>
          <w:b/>
          <w:bCs/>
        </w:rPr>
        <w:t xml:space="preserve">Technical diligence</w:t>
      </w:r>
      <w:r>
        <w:t xml:space="preserve">: If Series C opportunity arises, conduct independent assessment of Aalo-X design and 10x energy density claims with nuclear engineering consultants</w:t>
      </w:r>
      <w:r>
        <w:rPr>
          <w:rStyle w:val="FootnoteReference"/>
        </w:rPr>
        <w:footnoteReference w:id="289"/>
      </w:r>
      <w:r>
        <w:rPr>
          <w:rStyle w:val="FootnoteReference"/>
        </w:rPr>
        <w:footnoteReference w:id="290"/>
      </w:r>
      <w:r>
        <w:t xml:space="preserve"> </w:t>
      </w:r>
      <w:r>
        <w:t xml:space="preserve">-</w:t>
      </w:r>
      <w:r>
        <w:t xml:space="preserve"> </w:t>
      </w:r>
      <w:r>
        <w:rPr>
          <w:b/>
          <w:bCs/>
        </w:rPr>
        <w:t xml:space="preserve">Market validation</w:t>
      </w:r>
      <w:r>
        <w:t xml:space="preserve">: Monitor hyperscaler energy procurement announcements (Microsoft, Google, Amazon, Meta) for nuclear power commitments</w:t>
      </w:r>
      <w:r>
        <w:rPr>
          <w:rStyle w:val="FootnoteReference"/>
        </w:rPr>
        <w:footnoteReference w:id="291"/>
      </w:r>
      <w:r>
        <w:rPr>
          <w:rStyle w:val="FootnoteReference"/>
        </w:rPr>
        <w:footnoteReference w:id="292"/>
      </w:r>
      <w:r>
        <w:t xml:space="preserve"> </w:t>
      </w:r>
      <w:r>
        <w:t xml:space="preserve">-</w:t>
      </w:r>
      <w:r>
        <w:t xml:space="preserve"> </w:t>
      </w:r>
      <w:r>
        <w:rPr>
          <w:b/>
          <w:bCs/>
        </w:rPr>
        <w:t xml:space="preserve">Competitive tracking</w:t>
      </w:r>
      <w:r>
        <w:t xml:space="preserve">: Track NuScale, TerraPower, X-energy, Oklo regulatory and commercial milestones to assess Aalo’s relative progress</w:t>
      </w:r>
      <w:r>
        <w:rPr>
          <w:rStyle w:val="FootnoteReference"/>
        </w:rPr>
        <w:footnoteReference w:id="293"/>
      </w:r>
      <w:r>
        <w:rPr>
          <w:rStyle w:val="FootnoteReference"/>
        </w:rPr>
        <w:footnoteReference w:id="294"/>
      </w:r>
      <w:r>
        <w:t xml:space="preserve"> </w:t>
      </w:r>
      <w:r>
        <w:t xml:space="preserve">-</w:t>
      </w:r>
      <w:r>
        <w:t xml:space="preserve"> </w:t>
      </w:r>
      <w:r>
        <w:rPr>
          <w:b/>
          <w:bCs/>
        </w:rPr>
        <w:t xml:space="preserve">Regulatory monitoring</w:t>
      </w:r>
      <w:r>
        <w:t xml:space="preserve">: Follow NRC pre-licensing phase progression and DOE Pilot Program developments</w:t>
      </w:r>
      <w:r>
        <w:rPr>
          <w:rStyle w:val="FootnoteReference"/>
        </w:rPr>
        <w:footnoteReference w:id="295"/>
      </w:r>
      <w:r>
        <w:rPr>
          <w:rStyle w:val="FootnoteReference"/>
        </w:rPr>
        <w:footnoteReference w:id="296"/>
      </w:r>
      <w:r>
        <w:rPr>
          <w:rStyle w:val="FootnoteReference"/>
        </w:rPr>
        <w:footnoteReference w:id="297"/>
      </w:r>
      <w:r>
        <w:t xml:space="preserve"> </w:t>
      </w:r>
      <w:r>
        <w:t xml:space="preserve">-</w:t>
      </w:r>
      <w:r>
        <w:t xml:space="preserve"> </w:t>
      </w:r>
      <w:r>
        <w:rPr>
          <w:b/>
          <w:bCs/>
        </w:rPr>
        <w:t xml:space="preserve">Reference checks</w:t>
      </w:r>
      <w:r>
        <w:t xml:space="preserve">: Speak with Idaho Falls Power, INL MARVEL program leadership, and Valor Equity Partners for team and technical validation</w:t>
      </w:r>
      <w:r>
        <w:rPr>
          <w:rStyle w:val="FootnoteReference"/>
        </w:rPr>
        <w:footnoteReference w:id="298"/>
      </w:r>
      <w:r>
        <w:rPr>
          <w:rStyle w:val="FootnoteReference"/>
        </w:rPr>
        <w:footnoteReference w:id="299"/>
      </w:r>
      <w:r>
        <w:t xml:space="preserve"> </w:t>
      </w:r>
      <w:r>
        <w:t xml:space="preserve">-</w:t>
      </w:r>
      <w:r>
        <w:t xml:space="preserve"> </w:t>
      </w:r>
      <w:r>
        <w:rPr>
          <w:b/>
          <w:bCs/>
        </w:rPr>
        <w:t xml:space="preserve">Follow-on decision timeline</w:t>
      </w:r>
      <w:r>
        <w:t xml:space="preserve">: Revisit investment decision if Series C occurs (likely 2025-2026) with focus on: Aalo-X progress, customer pipeline beyond Idaho Falls Power, manufacturing pilot factory results, and competitive positioning</w:t>
      </w:r>
      <w:r>
        <w:rPr>
          <w:rStyle w:val="FootnoteReference"/>
        </w:rPr>
        <w:footnoteReference w:id="300"/>
      </w:r>
      <w:r>
        <w:rPr>
          <w:rStyle w:val="FootnoteReference"/>
        </w:rPr>
        <w:footnoteReference w:id="301"/>
      </w:r>
    </w:p>
    <w:p>
      <w:r>
        <w:pict>
          <v:rect style="width:0;height:1.5pt" o:hralign="center" o:hrstd="t" o:hr="t"/>
        </w:pict>
      </w:r>
    </w:p>
    <w:p>
      <w:pPr>
        <w:pStyle w:val="FirstParagraph"/>
      </w:pPr>
      <w:r>
        <w:rPr>
          <w:i/>
          <w:iCs/>
        </w:rPr>
        <w:t xml:space="preserve">Memo prepared by: Hypernova Capital Investment Team</w:t>
      </w:r>
      <w:r>
        <w:t xml:space="preserve"> </w:t>
      </w:r>
      <w:r>
        <w:rPr>
          <w:i/>
          <w:iCs/>
        </w:rPr>
        <w:t xml:space="preserve">Date: November 2024</w:t>
      </w:r>
    </w:p>
    <w:bookmarkStart w:id="302" w:name="citations"/>
    <w:p>
      <w:pPr>
        <w:pStyle w:val="Heading3"/>
      </w:pPr>
      <w:r>
        <w:t xml:space="preserve">Citations</w:t>
      </w:r>
    </w:p>
    <w:bookmarkEnd w:id="302"/>
    <w:bookmarkEnd w:id="303"/>
    <w:bookmarkEnd w:id="3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2">
    <w:p>
      <w:pPr>
        <w:pStyle w:val="FootnoteText"/>
      </w:pPr>
      <w:r>
        <w:rPr>
          <w:rStyle w:val="FootnoteReference"/>
        </w:rPr>
        <w:footnoteRef/>
      </w:r>
      <w:r>
        <w:t xml:space="preserve"> </w:t>
      </w:r>
      <w:r>
        <w:t xml:space="preserve">2024, Mar 8.</w:t>
      </w:r>
      <w:r>
        <w:t xml:space="preserve"> </w:t>
      </w:r>
      <w:hyperlink r:id="rId13">
        <w:r>
          <w:rPr>
            <w:rStyle w:val="Hyperlink"/>
          </w:rPr>
          <w:t xml:space="preserve">Aalo Atomics Raises $27M Series A</w:t>
        </w:r>
      </w:hyperlink>
      <w:r>
        <w:t xml:space="preserve">. Published: 2024-03-08 | Updated: 2024-03-08</w:t>
      </w:r>
    </w:p>
  </w:footnote>
  <w:footnote w:id="14">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16">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9">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21">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23">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5">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9">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30">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31">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32">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3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34">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35">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3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37">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3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40">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4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42">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43">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4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45">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4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47">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4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4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5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5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5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5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54">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55">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5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57">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5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5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60">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6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62">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6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64">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65">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6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6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69">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70">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71">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7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7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7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75">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7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77">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7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79">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80">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8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82">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83">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8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85">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8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87">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8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89">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9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9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9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9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9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95">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9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97">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9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9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00">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01">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0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0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05">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0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07">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08">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109">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1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11">
    <w:p>
      <w:pPr>
        <w:pStyle w:val="FootnoteText"/>
      </w:pPr>
      <w:r>
        <w:rPr>
          <w:rStyle w:val="FootnoteReference"/>
        </w:rPr>
        <w:footnoteRef/>
      </w:r>
      <w:r>
        <w:t xml:space="preserve"> </w:t>
      </w:r>
      <w:r>
        <w:t xml:space="preserve">2024, Mar 8.</w:t>
      </w:r>
      <w:r>
        <w:t xml:space="preserve"> </w:t>
      </w:r>
      <w:hyperlink r:id="rId112">
        <w:r>
          <w:rPr>
            <w:rStyle w:val="Hyperlink"/>
          </w:rPr>
          <w:t xml:space="preserve">Aalo Atomics Raises $27 Million For Microreactor Project</w:t>
        </w:r>
      </w:hyperlink>
      <w:r>
        <w:t xml:space="preserve">. Published: 2024-03-08 | Updated: 2024-03-08</w:t>
      </w:r>
    </w:p>
  </w:footnote>
  <w:footnote w:id="113">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114">
    <w:p>
      <w:pPr>
        <w:pStyle w:val="FootnoteText"/>
      </w:pPr>
      <w:r>
        <w:rPr>
          <w:rStyle w:val="FootnoteReference"/>
        </w:rPr>
        <w:footnoteRef/>
      </w:r>
      <w:r>
        <w:t xml:space="preserve"> </w:t>
      </w:r>
      <w:r>
        <w:t xml:space="preserve">2024, Mar 8.</w:t>
      </w:r>
      <w:r>
        <w:t xml:space="preserve"> </w:t>
      </w:r>
      <w:hyperlink r:id="rId13">
        <w:r>
          <w:rPr>
            <w:rStyle w:val="Hyperlink"/>
          </w:rPr>
          <w:t xml:space="preserve">Aalo Atomics Raises $27M Series A</w:t>
        </w:r>
      </w:hyperlink>
      <w:r>
        <w:t xml:space="preserve">. Published: 2024-03-08 | Updated: 2024-03-08</w:t>
      </w:r>
    </w:p>
  </w:footnote>
  <w:footnote w:id="115">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116">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17">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1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19">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120">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2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22">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2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2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25">
    <w:p>
      <w:pPr>
        <w:pStyle w:val="FootnoteText"/>
      </w:pPr>
      <w:r>
        <w:rPr>
          <w:rStyle w:val="FootnoteReference"/>
        </w:rPr>
        <w:footnoteRef/>
      </w:r>
      <w:r>
        <w:t xml:space="preserve"> </w:t>
      </w:r>
      <w:r>
        <w:t xml:space="preserve">2024, Mar 8.</w:t>
      </w:r>
      <w:r>
        <w:t xml:space="preserve"> </w:t>
      </w:r>
      <w:hyperlink r:id="rId112">
        <w:r>
          <w:rPr>
            <w:rStyle w:val="Hyperlink"/>
          </w:rPr>
          <w:t xml:space="preserve">Aalo Atomics Raises $27 Million For Microreactor Project</w:t>
        </w:r>
      </w:hyperlink>
      <w:r>
        <w:t xml:space="preserve">. Published: 2024-03-08 | Updated: 2024-03-08</w:t>
      </w:r>
    </w:p>
  </w:footnote>
  <w:footnote w:id="126">
    <w:p>
      <w:pPr>
        <w:pStyle w:val="FootnoteText"/>
      </w:pPr>
      <w:r>
        <w:rPr>
          <w:rStyle w:val="FootnoteReference"/>
        </w:rPr>
        <w:footnoteRef/>
      </w:r>
      <w:r>
        <w:t xml:space="preserve"> </w:t>
      </w:r>
      <w:r>
        <w:t xml:space="preserve">2024, Mar 8.</w:t>
      </w:r>
      <w:r>
        <w:t xml:space="preserve"> </w:t>
      </w:r>
      <w:hyperlink r:id="rId13">
        <w:r>
          <w:rPr>
            <w:rStyle w:val="Hyperlink"/>
          </w:rPr>
          <w:t xml:space="preserve">Aalo Atomics Raises $27M Series A</w:t>
        </w:r>
      </w:hyperlink>
      <w:r>
        <w:t xml:space="preserve">. Published: 2024-03-08 | Updated: 2024-03-08</w:t>
      </w:r>
    </w:p>
  </w:footnote>
  <w:footnote w:id="127">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2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29">
    <w:p>
      <w:pPr>
        <w:pStyle w:val="FootnoteText"/>
      </w:pPr>
      <w:r>
        <w:rPr>
          <w:rStyle w:val="FootnoteReference"/>
        </w:rPr>
        <w:footnoteRef/>
      </w:r>
      <w:r>
        <w:t xml:space="preserve"> </w:t>
      </w:r>
      <w:r>
        <w:t xml:space="preserve">2024, Mar 8.</w:t>
      </w:r>
      <w:r>
        <w:t xml:space="preserve"> </w:t>
      </w:r>
      <w:hyperlink r:id="rId112">
        <w:r>
          <w:rPr>
            <w:rStyle w:val="Hyperlink"/>
          </w:rPr>
          <w:t xml:space="preserve">Aalo Atomics Raises $27 Million For Microreactor Project</w:t>
        </w:r>
      </w:hyperlink>
      <w:r>
        <w:t xml:space="preserve">. Published: 2024-03-08 | Updated: 2024-03-08</w:t>
      </w:r>
    </w:p>
  </w:footnote>
  <w:footnote w:id="130">
    <w:p>
      <w:pPr>
        <w:pStyle w:val="FootnoteText"/>
      </w:pPr>
      <w:r>
        <w:rPr>
          <w:rStyle w:val="FootnoteReference"/>
        </w:rPr>
        <w:footnoteRef/>
      </w:r>
      <w:r>
        <w:t xml:space="preserve"> </w:t>
      </w:r>
      <w:r>
        <w:t xml:space="preserve">2024, Mar 8.</w:t>
      </w:r>
      <w:r>
        <w:t xml:space="preserve"> </w:t>
      </w:r>
      <w:hyperlink r:id="rId13">
        <w:r>
          <w:rPr>
            <w:rStyle w:val="Hyperlink"/>
          </w:rPr>
          <w:t xml:space="preserve">Aalo Atomics Raises $27M Series A</w:t>
        </w:r>
      </w:hyperlink>
      <w:r>
        <w:t xml:space="preserve">. Published: 2024-03-08 | Updated: 2024-03-08</w:t>
      </w:r>
    </w:p>
  </w:footnote>
  <w:footnote w:id="131">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3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3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34">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35">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3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37">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138">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3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40">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141">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142">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43">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4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45">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46">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47">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4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49">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5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5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5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5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5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55">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5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57">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5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60">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6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62">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6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64">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65">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6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67">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6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6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70">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7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72">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7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74">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75">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7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77">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7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79">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8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8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8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8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8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85">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187">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188">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8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90">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191">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192">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193">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9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95">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196">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197">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19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199">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0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0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02">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0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04">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05">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0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07">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08">
    <w:p>
      <w:pPr>
        <w:pStyle w:val="FootnoteText"/>
      </w:pPr>
      <w:r>
        <w:rPr>
          <w:rStyle w:val="FootnoteReference"/>
        </w:rPr>
        <w:footnoteRef/>
      </w:r>
      <w:r>
        <w:t xml:space="preserve"> </w:t>
      </w:r>
      <w:r>
        <w:t xml:space="preserve">2024, Mar 8.</w:t>
      </w:r>
      <w:r>
        <w:t xml:space="preserve"> </w:t>
      </w:r>
      <w:hyperlink r:id="rId112">
        <w:r>
          <w:rPr>
            <w:rStyle w:val="Hyperlink"/>
          </w:rPr>
          <w:t xml:space="preserve">Aalo Atomics Raises $27 Million For Microreactor Project</w:t>
        </w:r>
      </w:hyperlink>
      <w:r>
        <w:t xml:space="preserve">. Published: 2024-03-08 | Updated: 2024-03-08</w:t>
      </w:r>
    </w:p>
  </w:footnote>
  <w:footnote w:id="209">
    <w:p>
      <w:pPr>
        <w:pStyle w:val="FootnoteText"/>
      </w:pPr>
      <w:r>
        <w:rPr>
          <w:rStyle w:val="FootnoteReference"/>
        </w:rPr>
        <w:footnoteRef/>
      </w:r>
      <w:r>
        <w:t xml:space="preserve"> </w:t>
      </w:r>
      <w:r>
        <w:t xml:space="preserve">2024, Mar 8.</w:t>
      </w:r>
      <w:r>
        <w:t xml:space="preserve"> </w:t>
      </w:r>
      <w:hyperlink r:id="rId13">
        <w:r>
          <w:rPr>
            <w:rStyle w:val="Hyperlink"/>
          </w:rPr>
          <w:t xml:space="preserve">Aalo Atomics Raises $27M Series A</w:t>
        </w:r>
      </w:hyperlink>
      <w:r>
        <w:t xml:space="preserve">. Published: 2024-03-08 | Updated: 2024-03-08</w:t>
      </w:r>
    </w:p>
  </w:footnote>
  <w:footnote w:id="210">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1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12">
    <w:p>
      <w:pPr>
        <w:pStyle w:val="FootnoteText"/>
      </w:pPr>
      <w:r>
        <w:rPr>
          <w:rStyle w:val="FootnoteReference"/>
        </w:rPr>
        <w:footnoteRef/>
      </w:r>
      <w:r>
        <w:t xml:space="preserve"> </w:t>
      </w:r>
      <w:r>
        <w:t xml:space="preserve">2024, Mar 8.</w:t>
      </w:r>
      <w:r>
        <w:t xml:space="preserve"> </w:t>
      </w:r>
      <w:hyperlink r:id="rId112">
        <w:r>
          <w:rPr>
            <w:rStyle w:val="Hyperlink"/>
          </w:rPr>
          <w:t xml:space="preserve">Aalo Atomics Raises $27 Million For Microreactor Project</w:t>
        </w:r>
      </w:hyperlink>
      <w:r>
        <w:t xml:space="preserve">. Published: 2024-03-08 | Updated: 2024-03-08</w:t>
      </w:r>
    </w:p>
  </w:footnote>
  <w:footnote w:id="213">
    <w:p>
      <w:pPr>
        <w:pStyle w:val="FootnoteText"/>
      </w:pPr>
      <w:r>
        <w:rPr>
          <w:rStyle w:val="FootnoteReference"/>
        </w:rPr>
        <w:footnoteRef/>
      </w:r>
      <w:r>
        <w:t xml:space="preserve"> </w:t>
      </w:r>
      <w:r>
        <w:t xml:space="preserve">2024, Mar 8.</w:t>
      </w:r>
      <w:r>
        <w:t xml:space="preserve"> </w:t>
      </w:r>
      <w:hyperlink r:id="rId13">
        <w:r>
          <w:rPr>
            <w:rStyle w:val="Hyperlink"/>
          </w:rPr>
          <w:t xml:space="preserve">Aalo Atomics Raises $27M Series A</w:t>
        </w:r>
      </w:hyperlink>
      <w:r>
        <w:t xml:space="preserve">. Published: 2024-03-08 | Updated: 2024-03-08</w:t>
      </w:r>
    </w:p>
  </w:footnote>
  <w:footnote w:id="214">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215">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1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17">
    <w:p>
      <w:pPr>
        <w:pStyle w:val="FootnoteText"/>
      </w:pPr>
      <w:r>
        <w:rPr>
          <w:rStyle w:val="FootnoteReference"/>
        </w:rPr>
        <w:footnoteRef/>
      </w:r>
      <w:r>
        <w:t xml:space="preserve"> </w:t>
      </w:r>
      <w:r>
        <w:t xml:space="preserve">2024, Mar 8.</w:t>
      </w:r>
      <w:r>
        <w:t xml:space="preserve"> </w:t>
      </w:r>
      <w:hyperlink r:id="rId112">
        <w:r>
          <w:rPr>
            <w:rStyle w:val="Hyperlink"/>
          </w:rPr>
          <w:t xml:space="preserve">Aalo Atomics Raises $27 Million For Microreactor Project</w:t>
        </w:r>
      </w:hyperlink>
      <w:r>
        <w:t xml:space="preserve">. Published: 2024-03-08 | Updated: 2024-03-08</w:t>
      </w:r>
    </w:p>
  </w:footnote>
  <w:footnote w:id="218">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219">
    <w:p>
      <w:pPr>
        <w:pStyle w:val="FootnoteText"/>
      </w:pPr>
      <w:r>
        <w:rPr>
          <w:rStyle w:val="FootnoteReference"/>
        </w:rPr>
        <w:footnoteRef/>
      </w:r>
      <w:r>
        <w:t xml:space="preserve"> </w:t>
      </w:r>
      <w:r>
        <w:t xml:space="preserve">2024, Mar 8.</w:t>
      </w:r>
      <w:r>
        <w:t xml:space="preserve"> </w:t>
      </w:r>
      <w:hyperlink r:id="rId13">
        <w:r>
          <w:rPr>
            <w:rStyle w:val="Hyperlink"/>
          </w:rPr>
          <w:t xml:space="preserve">Aalo Atomics Raises $27M Series A</w:t>
        </w:r>
      </w:hyperlink>
      <w:r>
        <w:t xml:space="preserve">. Published: 2024-03-08 | Updated: 2024-03-08</w:t>
      </w:r>
    </w:p>
  </w:footnote>
  <w:footnote w:id="220">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221">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222">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2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24">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225">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22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27">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2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29">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3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3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3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3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3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35">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37">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3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39">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40">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4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42">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4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44">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45">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4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47">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4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4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50">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52">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253">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54">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55">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25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57">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5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59">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6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6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62">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6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64">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65">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6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67">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6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69">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7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7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72">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73">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74">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275">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7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77">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79">
    <w:p>
      <w:pPr>
        <w:pStyle w:val="FootnoteText"/>
      </w:pPr>
      <w:r>
        <w:rPr>
          <w:rStyle w:val="FootnoteReference"/>
        </w:rPr>
        <w:footnoteRef/>
      </w:r>
      <w:r>
        <w:t xml:space="preserve"> </w:t>
      </w:r>
      <w:r>
        <w:t xml:space="preserve">2025, Aug 20.</w:t>
      </w:r>
      <w:r>
        <w:t xml:space="preserve"> </w:t>
      </w:r>
      <w:hyperlink r:id="rId15">
        <w:r>
          <w:rPr>
            <w:rStyle w:val="Hyperlink"/>
          </w:rPr>
          <w:t xml:space="preserve">Aalo secures $100 million in Series B funding</w:t>
        </w:r>
      </w:hyperlink>
      <w:r>
        <w:t xml:space="preserve">. Published: 2025-08-20 | Updated: 2025-08-20</w:t>
      </w:r>
    </w:p>
  </w:footnote>
  <w:footnote w:id="280">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81">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82">
    <w:p>
      <w:pPr>
        <w:pStyle w:val="FootnoteText"/>
      </w:pPr>
      <w:r>
        <w:rPr>
          <w:rStyle w:val="FootnoteReference"/>
        </w:rPr>
        <w:footnoteRef/>
      </w:r>
      <w:r>
        <w:t xml:space="preserve"> </w:t>
      </w:r>
      <w:r>
        <w:t xml:space="preserve">2025, Aug 19.</w:t>
      </w:r>
      <w:r>
        <w:t xml:space="preserve"> </w:t>
      </w:r>
      <w:hyperlink r:id="rId20">
        <w:r>
          <w:rPr>
            <w:rStyle w:val="Hyperlink"/>
          </w:rPr>
          <w:t xml:space="preserve">Aalo Atomics raises $100M to build a microreactor and data center together</w:t>
        </w:r>
      </w:hyperlink>
      <w:r>
        <w:t xml:space="preserve">. Published: 2025-08-19 | Updated: 2025-08-19</w:t>
      </w:r>
    </w:p>
  </w:footnote>
  <w:footnote w:id="283">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284">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85">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86">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87">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88">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89">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90">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91">
    <w:p>
      <w:pPr>
        <w:pStyle w:val="FootnoteText"/>
      </w:pPr>
      <w:r>
        <w:rPr>
          <w:rStyle w:val="FootnoteReference"/>
        </w:rPr>
        <w:footnoteRef/>
      </w:r>
      <w:r>
        <w:t xml:space="preserve"> </w:t>
      </w:r>
      <w:r>
        <w:t xml:space="preserve">2025, Aug 19.</w:t>
      </w:r>
      <w:r>
        <w:t xml:space="preserve"> </w:t>
      </w:r>
      <w:hyperlink r:id="rId22">
        <w:r>
          <w:rPr>
            <w:rStyle w:val="Hyperlink"/>
          </w:rPr>
          <w:t xml:space="preserve">Coming soon to a data center near you? Nuclear reactors</w:t>
        </w:r>
      </w:hyperlink>
      <w:r>
        <w:t xml:space="preserve">. Published: 2025-08-19 | Updated: 2025-08-19</w:t>
      </w:r>
    </w:p>
  </w:footnote>
  <w:footnote w:id="292">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93">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94">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95">
    <w:p>
      <w:pPr>
        <w:pStyle w:val="FootnoteText"/>
      </w:pPr>
      <w:r>
        <w:rPr>
          <w:rStyle w:val="FootnoteReference"/>
        </w:rPr>
        <w:footnoteRef/>
      </w:r>
      <w:r>
        <w:t xml:space="preserve"> </w:t>
      </w:r>
      <w:r>
        <w:t xml:space="preserve">2025, Aug 19.</w:t>
      </w:r>
      <w:r>
        <w:t xml:space="preserve"> </w:t>
      </w:r>
      <w:hyperlink r:id="rId17">
        <w:r>
          <w:rPr>
            <w:rStyle w:val="Hyperlink"/>
          </w:rPr>
          <w:t xml:space="preserve">Aalo Atomics Secures Capital, Regulatory Backing for 2026 Modular Nuclear Project at INL, Eyes Potential First Data Center Pairing</w:t>
        </w:r>
      </w:hyperlink>
      <w:r>
        <w:t xml:space="preserve">. Published: 2025-08-19 | Updated: 2025-08-19</w:t>
      </w:r>
    </w:p>
  </w:footnote>
  <w:footnote w:id="296">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97">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298">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299">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 w:id="300">
    <w:p>
      <w:pPr>
        <w:pStyle w:val="FootnoteText"/>
      </w:pPr>
      <w:r>
        <w:rPr>
          <w:rStyle w:val="FootnoteReference"/>
        </w:rPr>
        <w:footnoteRef/>
      </w:r>
      <w:r>
        <w:t xml:space="preserve"> </w:t>
      </w:r>
      <w:r>
        <w:t xml:space="preserve">2025, Aug 19.</w:t>
      </w:r>
      <w:r>
        <w:t xml:space="preserve"> </w:t>
      </w:r>
      <w:hyperlink r:id="rId11">
        <w:r>
          <w:rPr>
            <w:rStyle w:val="Hyperlink"/>
          </w:rPr>
          <w:t xml:space="preserve">Aalo Atomics secures funding to build its first reactor</w:t>
        </w:r>
      </w:hyperlink>
      <w:r>
        <w:t xml:space="preserve">. Published: 2025-08-19 | Updated: 2025-08-19</w:t>
      </w:r>
    </w:p>
  </w:footnote>
  <w:footnote w:id="301">
    <w:p>
      <w:pPr>
        <w:pStyle w:val="FootnoteText"/>
      </w:pPr>
      <w:r>
        <w:rPr>
          <w:rStyle w:val="FootnoteReference"/>
        </w:rPr>
        <w:footnoteRef/>
      </w:r>
      <w:r>
        <w:t xml:space="preserve"> </w:t>
      </w:r>
      <w:r>
        <w:t xml:space="preserve">2025, Aug 19.</w:t>
      </w:r>
      <w:r>
        <w:t xml:space="preserve"> </w:t>
      </w:r>
      <w:hyperlink r:id="rId26">
        <w:r>
          <w:rPr>
            <w:rStyle w:val="Hyperlink"/>
          </w:rPr>
          <w:t xml:space="preserve">Aalo Closes $100M Series B</w:t>
        </w:r>
      </w:hyperlink>
      <w:r>
        <w:t xml:space="preserve">. Published: 2025-08-19 | Updated: 2025-08-19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techcrunch.com/2025/08/19/aalo-atomics-raises-100m-to-build-a-microreactor-and-data-center-together/" TargetMode="External" /><Relationship Type="http://schemas.openxmlformats.org/officeDocument/2006/relationships/hyperlink" Id="rId13" Target="https://www.aalo.com/post/aalo-atomics-raises-27m-series-a" TargetMode="External" /><Relationship Type="http://schemas.openxmlformats.org/officeDocument/2006/relationships/hyperlink" Id="rId26" Target="https://www.aalo.com/post/aalo-closes-100m-series-b" TargetMode="External" /><Relationship Type="http://schemas.openxmlformats.org/officeDocument/2006/relationships/hyperlink" Id="rId15" Target="https://www.ans.org/news/article-7294/aalo-secures-100-million-in-series-b-funding/" TargetMode="External" /><Relationship Type="http://schemas.openxmlformats.org/officeDocument/2006/relationships/hyperlink" Id="rId22" Target="https://www.businessinsider.com/aalo-atomics-100-million-valor-nuclear-reactor-startup-data-center-2025-8" TargetMode="External" /><Relationship Type="http://schemas.openxmlformats.org/officeDocument/2006/relationships/hyperlink" Id="rId112" Target="https://www.nucnet.org/news/aolo-atomics-raises-usd27-million-for-microreactor-project-8-3-2024" TargetMode="External" /><Relationship Type="http://schemas.openxmlformats.org/officeDocument/2006/relationships/hyperlink" Id="rId17" Target="https://www.powermag.com/aalo-atomics-secures-capital-regulatory-backing-for-2026-modular-nuclear-project-at-inl-eyes-potential-first-data-center-pairing/" TargetMode="External" /><Relationship Type="http://schemas.openxmlformats.org/officeDocument/2006/relationships/hyperlink" Id="rId11" Target="https://www.world-nuclear-news.org/articles/aalo-atomics-secures-funding-to-build-its-first-reactor" TargetMode="External" /></Relationships>
</file>

<file path=word/_rels/footnotes.xml.rels><?xml version="1.0" encoding="UTF-8"?><Relationships xmlns="http://schemas.openxmlformats.org/package/2006/relationships"><Relationship Type="http://schemas.openxmlformats.org/officeDocument/2006/relationships/hyperlink" Id="rId20" Target="https://techcrunch.com/2025/08/19/aalo-atomics-raises-100m-to-build-a-microreactor-and-data-center-together/" TargetMode="External" /><Relationship Type="http://schemas.openxmlformats.org/officeDocument/2006/relationships/hyperlink" Id="rId13" Target="https://www.aalo.com/post/aalo-atomics-raises-27m-series-a" TargetMode="External" /><Relationship Type="http://schemas.openxmlformats.org/officeDocument/2006/relationships/hyperlink" Id="rId26" Target="https://www.aalo.com/post/aalo-closes-100m-series-b" TargetMode="External" /><Relationship Type="http://schemas.openxmlformats.org/officeDocument/2006/relationships/hyperlink" Id="rId15" Target="https://www.ans.org/news/article-7294/aalo-secures-100-million-in-series-b-funding/" TargetMode="External" /><Relationship Type="http://schemas.openxmlformats.org/officeDocument/2006/relationships/hyperlink" Id="rId22" Target="https://www.businessinsider.com/aalo-atomics-100-million-valor-nuclear-reactor-startup-data-center-2025-8" TargetMode="External" /><Relationship Type="http://schemas.openxmlformats.org/officeDocument/2006/relationships/hyperlink" Id="rId112" Target="https://www.nucnet.org/news/aolo-atomics-raises-usd27-million-for-microreactor-project-8-3-2024" TargetMode="External" /><Relationship Type="http://schemas.openxmlformats.org/officeDocument/2006/relationships/hyperlink" Id="rId17" Target="https://www.powermag.com/aalo-atomics-secures-capital-regulatory-backing-for-2026-modular-nuclear-project-at-inl-eyes-potential-first-data-center-pairing/" TargetMode="External" /><Relationship Type="http://schemas.openxmlformats.org/officeDocument/2006/relationships/hyperlink" Id="rId11" Target="https://www.world-nuclear-news.org/articles/aalo-atomics-secures-funding-to-build-its-first-reac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2025-11-17T16:28:33Z</dcterms:created>
  <dcterms:modified xsi:type="dcterms:W3CDTF">2025-11-17T16:28:33Z</dcterms:modified>
</cp:coreProperties>
</file>

<file path=docProps/custom.xml><?xml version="1.0" encoding="utf-8"?>
<Properties xmlns="http://schemas.openxmlformats.org/officeDocument/2006/custom-properties" xmlns:vt="http://schemas.openxmlformats.org/officeDocument/2006/docPropsVTypes"/>
</file>