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2" w:name="lp-commitment-memo"/>
    <w:p>
      <w:pPr>
        <w:pStyle w:val="Heading1"/>
      </w:pPr>
      <w:r>
        <w:t xml:space="preserve">LP Commitment Memo</w:t>
      </w:r>
    </w:p>
    <w:bookmarkStart w:id="10" w:name="fund-aito-capital-fund-i"/>
    <w:p>
      <w:pPr>
        <w:pStyle w:val="Heading2"/>
      </w:pPr>
      <w:r>
        <w:t xml:space="preserve">Fund: Aito Capital Fund I</w:t>
      </w:r>
    </w:p>
    <w:p>
      <w:pPr>
        <w:pStyle w:val="FirstParagraph"/>
      </w:pPr>
      <w:r>
        <w:rPr>
          <w:b/>
          <w:bCs/>
        </w:rPr>
        <w:t xml:space="preserve">GP/Firm</w:t>
      </w:r>
      <w:r>
        <w:t xml:space="preserve">: Aito Capital (</w:t>
      </w:r>
      <w:hyperlink r:id="rId9">
        <w:r>
          <w:rPr>
            <w:rStyle w:val="Hyperlink"/>
          </w:rPr>
          <w:t xml:space="preserve">website</w:t>
        </w:r>
      </w:hyperlink>
      <w:r>
        <w:t xml:space="preserve">)</w:t>
      </w:r>
      <w:r>
        <w:br/>
      </w:r>
      <w:r>
        <w:rPr>
          <w:b/>
          <w:bCs/>
        </w:rPr>
        <w:t xml:space="preserve">Fund Size</w:t>
      </w:r>
      <w:r>
        <w:t xml:space="preserve">: $25M (estimated from portfolio construction)</w:t>
      </w:r>
      <w:r>
        <w:br/>
      </w:r>
      <w:r>
        <w:rPr>
          <w:b/>
          <w:bCs/>
        </w:rPr>
        <w:t xml:space="preserve">Vintage</w:t>
      </w:r>
      <w:r>
        <w:t xml:space="preserve">: 2024</w:t>
      </w:r>
      <w:r>
        <w:br/>
      </w:r>
      <w:r>
        <w:rPr>
          <w:b/>
          <w:bCs/>
        </w:rPr>
        <w:t xml:space="preserve">Strategy</w:t>
      </w:r>
      <w:r>
        <w:t xml:space="preserve">: Pre-Seed &amp; Seed stage AI application layer and B2B SaaS</w:t>
      </w:r>
      <w:r>
        <w:br/>
      </w:r>
      <w:r>
        <w:rPr>
          <w:b/>
          <w:bCs/>
        </w:rPr>
        <w:t xml:space="preserve">Date</w:t>
      </w:r>
      <w:r>
        <w:t xml:space="preserve">: November 16, 2025</w:t>
      </w:r>
    </w:p>
    <w:p>
      <w:r>
        <w:pict>
          <v:rect style="width:0;height:1.5pt" o:hralign="center" o:hrstd="t" o:hr="t"/>
        </w:pict>
      </w:r>
    </w:p>
    <w:bookmarkEnd w:id="10"/>
    <w:bookmarkStart w:id="28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committed capital to Aito Capital Fund I, a US-based early-stage venture fund led by</w:t>
      </w:r>
      <w:r>
        <w:t xml:space="preserve"> </w:t>
      </w:r>
      <w:r>
        <w:rPr>
          <w:b/>
          <w:bCs/>
        </w:rPr>
        <w:t xml:space="preserve">Juan Abundes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LinkedIn</w:t>
        </w:r>
      </w:hyperlink>
      <w:r>
        <w:t xml:space="preserve">) targeting the application layer of AI and B2B SaaS companies</w:t>
      </w:r>
      <w:r>
        <w:rPr>
          <w:rStyle w:val="FootnoteReference"/>
        </w:rPr>
        <w:footnoteReference w:id="12"/>
      </w:r>
      <w:r>
        <w:rPr>
          <w:rStyle w:val="FootnoteReference"/>
        </w:rPr>
        <w:footnoteReference w:id="14"/>
      </w:r>
      <w:r>
        <w:t xml:space="preserve">. The fund writes $100K-$250K checks into 35-40 portfolio companies at pre-seed and seed stages, targeting 1-5% ownership positions with disciplined entry pricing (average $15M post-money, hard cap at $30M post-money)</w:t>
      </w:r>
      <w:r>
        <w:rPr>
          <w:rStyle w:val="FootnoteReference"/>
        </w:rPr>
        <w:footnoteReference w:id="16"/>
      </w:r>
      <w:r>
        <w:t xml:space="preserve">.</w:t>
      </w:r>
    </w:p>
    <w:p>
      <w:pPr>
        <w:pStyle w:val="BodyText"/>
      </w:pPr>
      <w:r>
        <w:t xml:space="preserve">Our investment decision was driven by three core factors: (1) Juan’s demonstrated track record deploying $300M+ across 100+ companies with notable early positions in</w:t>
      </w:r>
      <w:r>
        <w:t xml:space="preserve"> </w:t>
      </w:r>
      <w:r>
        <w:rPr>
          <w:b/>
          <w:bCs/>
        </w:rPr>
        <w:t xml:space="preserve">Deel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website</w:t>
        </w:r>
      </w:hyperlink>
      <w:r>
        <w:t xml:space="preserve">) ($15B valuation, 350x multiple),</w:t>
      </w:r>
      <w:r>
        <w:t xml:space="preserve"> </w:t>
      </w:r>
      <w:r>
        <w:rPr>
          <w:b/>
          <w:bCs/>
        </w:rPr>
        <w:t xml:space="preserve">Ramp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 ($7.8B valuation, 191x multiple from seed), and</w:t>
      </w:r>
      <w:r>
        <w:t xml:space="preserve"> </w:t>
      </w:r>
      <w:r>
        <w:rPr>
          <w:b/>
          <w:bCs/>
        </w:rPr>
        <w:t xml:space="preserve">Unit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website</w:t>
        </w:r>
      </w:hyperlink>
      <w:r>
        <w:t xml:space="preserve">) ($1.2B valuation, 96x multiple)</w:t>
      </w:r>
      <w:r>
        <w:rPr>
          <w:rStyle w:val="FootnoteReference"/>
        </w:rPr>
        <w:footnoteReference w:id="20"/>
      </w:r>
      <w:r>
        <w:rPr>
          <w:rStyle w:val="FootnoteReference"/>
        </w:rPr>
        <w:footnoteReference w:id="21"/>
      </w:r>
      <w:r>
        <w:t xml:space="preserve">, (2) exceptional portfolio quality signal with 90% of prior investments raising follow-on capital and 8x MOIC across the portfolio</w:t>
      </w:r>
      <w:r>
        <w:rPr>
          <w:rStyle w:val="FootnoteReference"/>
        </w:rPr>
        <w:footnoteReference w:id="22"/>
      </w:r>
      <w:r>
        <w:rPr>
          <w:rStyle w:val="FootnoteReference"/>
        </w:rPr>
        <w:footnoteReference w:id="23"/>
      </w:r>
      <w:r>
        <w:t xml:space="preserve">, and (3) differentiated sourcing through a network of 500+ operators and relationships with leading institutional investors who view Aito as a downstream signal for their follow-on capital</w:t>
      </w:r>
      <w:r>
        <w:rPr>
          <w:rStyle w:val="FootnoteReference"/>
        </w:rPr>
        <w:footnoteReference w:id="24"/>
      </w:r>
      <w:r>
        <w:t xml:space="preserve">.</w:t>
      </w:r>
    </w:p>
    <w:p>
      <w:pPr>
        <w:pStyle w:val="BodyText"/>
      </w:pPr>
      <w:r>
        <w:t xml:space="preserve">The fund’s collaborative co-investment strategy positions it as a complementary partner to larger funds rather than competing for lead positions, enabling access to competitive deals through relationship capital</w:t>
      </w:r>
      <w:r>
        <w:rPr>
          <w:rStyle w:val="FootnoteReference"/>
        </w:rPr>
        <w:footnoteReference w:id="25"/>
      </w:r>
      <w:r>
        <w:t xml:space="preserve">. Early performance indicators from the current portfolio show multiple 2023-2024 vintage investments already achieving 1-3x markups</w:t>
      </w:r>
      <w:r>
        <w:rPr>
          <w:rStyle w:val="FootnoteReference"/>
        </w:rPr>
        <w:footnoteReference w:id="26"/>
      </w:r>
      <w:r>
        <w:t xml:space="preserve">. The fund provides meaningful operational support focused on customer acquisition and distribution—the primary value-add that Juan leverages to win allocations in competitive rounds</w:t>
      </w:r>
      <w:r>
        <w:rPr>
          <w:rStyle w:val="FootnoteReference"/>
        </w:rPr>
        <w:footnoteReference w:id="27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59" w:name="gp-background-track-record"/>
    <w:p>
      <w:pPr>
        <w:pStyle w:val="Heading2"/>
      </w:pPr>
      <w:r>
        <w:t xml:space="preserve">2. GP Background &amp; Track Record</w:t>
      </w:r>
    </w:p>
    <w:p>
      <w:pPr>
        <w:pStyle w:val="FirstParagraph"/>
      </w:pPr>
      <w:r>
        <w:rPr>
          <w:b/>
          <w:bCs/>
        </w:rPr>
        <w:t xml:space="preserve">General Partner(s)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Juan Abundes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LinkedIn</w:t>
        </w:r>
      </w:hyperlink>
      <w:r>
        <w:t xml:space="preserve">) (Founder / Managing Partner): Seven years of venture capital experience beginning February 2017 at</w:t>
      </w:r>
      <w:r>
        <w:t xml:space="preserve"> </w:t>
      </w:r>
      <w:r>
        <w:rPr>
          <w:b/>
          <w:bCs/>
        </w:rPr>
        <w:t xml:space="preserve">Soma Capital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website</w:t>
        </w:r>
      </w:hyperlink>
      <w:r>
        <w:t xml:space="preserve">), followed by role at</w:t>
      </w:r>
      <w:r>
        <w:t xml:space="preserve"> </w:t>
      </w:r>
      <w:r>
        <w:rPr>
          <w:b/>
          <w:bCs/>
        </w:rPr>
        <w:t xml:space="preserve">BTV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website</w:t>
        </w:r>
      </w:hyperlink>
      <w:r>
        <w:t xml:space="preserve">). Direct investment authority in portfolio companies including</w:t>
      </w:r>
      <w:r>
        <w:t xml:space="preserve"> </w:t>
      </w:r>
      <w:r>
        <w:rPr>
          <w:b/>
          <w:bCs/>
        </w:rPr>
        <w:t xml:space="preserve">Ramp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Deel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Unit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Yuno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website</w:t>
        </w:r>
      </w:hyperlink>
      <w:r>
        <w:t xml:space="preserve">), and</w:t>
      </w:r>
      <w:r>
        <w:t xml:space="preserve"> </w:t>
      </w:r>
      <w:r>
        <w:rPr>
          <w:b/>
          <w:bCs/>
        </w:rPr>
        <w:t xml:space="preserve">Tennr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website</w:t>
        </w:r>
      </w:hyperlink>
      <w:r>
        <w:t xml:space="preserve">). Generated $2B+ in follow-on capital raised from portfolio companies</w:t>
      </w:r>
      <w:r>
        <w:rPr>
          <w:rStyle w:val="FootnoteReference"/>
        </w:rPr>
        <w:footnoteReference w:id="33"/>
      </w:r>
      <w:r>
        <w:rPr>
          <w:rStyle w:val="FootnoteReference"/>
        </w:rPr>
        <w:footnoteReference w:id="34"/>
      </w:r>
      <w:r>
        <w:t xml:space="preserve">. Previously established relationships with institutional investors at</w:t>
      </w:r>
      <w:r>
        <w:t xml:space="preserve"> </w:t>
      </w:r>
      <w:r>
        <w:rPr>
          <w:b/>
          <w:bCs/>
        </w:rPr>
        <w:t xml:space="preserve">A16Z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Accel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Lightspeed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YC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NFX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website</w:t>
        </w:r>
      </w:hyperlink>
      <w:r>
        <w:t xml:space="preserve">), and</w:t>
      </w:r>
      <w:r>
        <w:t xml:space="preserve"> </w:t>
      </w:r>
      <w:r>
        <w:rPr>
          <w:b/>
          <w:bCs/>
        </w:rPr>
        <w:t xml:space="preserve">Tribe Capital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website</w:t>
        </w:r>
      </w:hyperlink>
      <w:r>
        <w:t xml:space="preserve">) who actively co-invest alongside his deals</w:t>
      </w:r>
      <w:r>
        <w:rPr>
          <w:rStyle w:val="FootnoteReference"/>
        </w:rPr>
        <w:footnoteReference w:id="41"/>
      </w:r>
      <w:r>
        <w:rPr>
          <w:rStyle w:val="FootnoteReference"/>
        </w:rPr>
        <w:footnoteReference w:id="42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Firm history</w:t>
      </w:r>
      <w:r>
        <w:t xml:space="preserve">: Aito Capital was founded in 2023 as Juan’s independent fund vehicle, leveraging relationships and deal flow developed through prior platforms</w:t>
      </w:r>
      <w:r>
        <w:rPr>
          <w:rStyle w:val="FootnoteReference"/>
        </w:rPr>
        <w:footnoteReference w:id="43"/>
      </w:r>
      <w:r>
        <w:rPr>
          <w:rStyle w:val="FootnoteReference"/>
        </w:rPr>
        <w:footnoteReference w:id="44"/>
      </w:r>
      <w:r>
        <w:t xml:space="preserve">. The decision to launch independently was driven by Juan’s desire for faster decision-making velocity and direct ownership of GP economics. The firm operates from San Francisco with contact at juan@aito.vc</w:t>
      </w:r>
      <w:r>
        <w:rPr>
          <w:rStyle w:val="FootnoteReference"/>
        </w:rPr>
        <w:footnoteReference w:id="45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Investment team</w:t>
      </w:r>
      <w:r>
        <w:t xml:space="preserve">: Current structure centers on Juan as sole Managing Partner with investment authority</w:t>
      </w:r>
      <w:r>
        <w:rPr>
          <w:rStyle w:val="FootnoteReference"/>
        </w:rPr>
        <w:footnoteReference w:id="46"/>
      </w:r>
      <w:r>
        <w:t xml:space="preserve">. The operational model leverages a network of venture partners, founders, and operators for deal sourcing and portfolio support rather than building a traditional investment team – a detail confirmed by multiple interviews and podcasts</w:t>
      </w:r>
      <w:r>
        <w:rPr>
          <w:rStyle w:val="FootnoteReference"/>
        </w:rPr>
        <w:footnoteReference w:id="47"/>
      </w:r>
      <w:r>
        <w:rPr>
          <w:rStyle w:val="FootnoteReference"/>
        </w:rPr>
        <w:footnoteReference w:id="48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Track record highlights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$300M+ deployed capital</w:t>
      </w:r>
      <w:r>
        <w:t xml:space="preserve"> </w:t>
      </w:r>
      <w:r>
        <w:t xml:space="preserve">across 100+ companies in prior roles at Soma Capital and BTV</w:t>
      </w:r>
      <w:r>
        <w:rPr>
          <w:rStyle w:val="FootnoteReference"/>
        </w:rPr>
        <w:footnoteReference w:id="49"/>
      </w:r>
      <w:r>
        <w:rPr>
          <w:rStyle w:val="FootnoteReference"/>
        </w:rPr>
        <w:footnoteReference w:id="50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90% of companies raised follow-on capital</w:t>
      </w:r>
      <w:r>
        <w:t xml:space="preserve">—exceptional signal of quality deal selection and founder assessment</w:t>
      </w:r>
      <w:r>
        <w:rPr>
          <w:rStyle w:val="FootnoteReference"/>
        </w:rPr>
        <w:footnoteReference w:id="51"/>
      </w:r>
      <w:r>
        <w:rPr>
          <w:rStyle w:val="FootnoteReference"/>
        </w:rPr>
        <w:footnoteReference w:id="52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8x MOIC</w:t>
      </w:r>
      <w:r>
        <w:t xml:space="preserve"> </w:t>
      </w:r>
      <w:r>
        <w:t xml:space="preserve">across prior investments, demonstrating consistent returns beyond outlier dependency</w:t>
      </w:r>
      <w:r>
        <w:rPr>
          <w:rStyle w:val="FootnoteReference"/>
        </w:rPr>
        <w:footnoteReference w:id="53"/>
      </w:r>
      <w:r>
        <w:rPr>
          <w:rStyle w:val="FootnoteReference"/>
        </w:rPr>
        <w:footnoteReference w:id="54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$2B+ follow-on capital raised</w:t>
      </w:r>
      <w:r>
        <w:t xml:space="preserve"> </w:t>
      </w:r>
      <w:r>
        <w:t xml:space="preserve">by portfolio companies, validating market reception of Juan’s picks</w:t>
      </w:r>
      <w:r>
        <w:rPr>
          <w:rStyle w:val="FootnoteReference"/>
        </w:rPr>
        <w:footnoteReference w:id="55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50x+ exits</w:t>
      </w:r>
      <w:r>
        <w:t xml:space="preserve"> </w:t>
      </w:r>
      <w:r>
        <w:t xml:space="preserve">including Ramp (191x from seed to Series D), Deel (350x), and Unit (96x)</w:t>
      </w:r>
      <w:r>
        <w:rPr>
          <w:rStyle w:val="FootnoteReference"/>
        </w:rPr>
        <w:footnoteReference w:id="56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Strong mid-tier performers</w:t>
      </w:r>
      <w:r>
        <w:t xml:space="preserve"> </w:t>
      </w:r>
      <w:r>
        <w:t xml:space="preserve">with Yuno (16.7x), Tennr (13.3x), and multiple 15-40x markups</w:t>
      </w:r>
      <w:r>
        <w:rPr>
          <w:rStyle w:val="FootnoteReference"/>
        </w:rPr>
        <w:footnoteReference w:id="57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Recent vintage momentum</w:t>
      </w:r>
      <w:r>
        <w:t xml:space="preserve"> </w:t>
      </w:r>
      <w:r>
        <w:t xml:space="preserve">with 2023-2024 investments already showing 1-3x early markups</w:t>
      </w:r>
      <w:r>
        <w:rPr>
          <w:rStyle w:val="FootnoteReference"/>
        </w:rPr>
        <w:footnoteReference w:id="58"/>
      </w:r>
    </w:p>
    <w:p>
      <w:r>
        <w:pict>
          <v:rect style="width:0;height:1.5pt" o:hralign="center" o:hrstd="t" o:hr="t"/>
        </w:pict>
      </w:r>
    </w:p>
    <w:bookmarkEnd w:id="59"/>
    <w:bookmarkStart w:id="85" w:name="fund-strategy-thesis"/>
    <w:p>
      <w:pPr>
        <w:pStyle w:val="Heading2"/>
      </w:pPr>
      <w:r>
        <w:t xml:space="preserve">3. Fund Strategy &amp; Thesis</w:t>
      </w:r>
    </w:p>
    <w:p>
      <w:pPr>
        <w:pStyle w:val="FirstParagraph"/>
      </w:pPr>
      <w:r>
        <w:rPr>
          <w:b/>
          <w:bCs/>
        </w:rPr>
        <w:t xml:space="preserve">Investment focus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thesis</w:t>
      </w:r>
      <w:r>
        <w:t xml:space="preserve">: Application layer of AI—</w:t>
      </w:r>
      <w:r>
        <w:t xml:space="preserve">“We believe a lot of the value created in the coming years will be at the application layer of AI.”</w:t>
      </w:r>
      <w:r>
        <w:rPr>
          <w:rStyle w:val="FootnoteReference"/>
        </w:rPr>
        <w:footnoteReference w:id="60"/>
      </w:r>
      <w:r>
        <w:rPr>
          <w:rStyle w:val="FootnoteReference"/>
        </w:rPr>
        <w:footnoteReference w:id="61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sectors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Fintech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website</w:t>
        </w:r>
      </w:hyperlink>
      <w:r>
        <w:t xml:space="preserve">), 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), (</w:t>
      </w:r>
      <w:hyperlink r:id="rId19">
        <w:r>
          <w:rPr>
            <w:rStyle w:val="Hyperlink"/>
          </w:rPr>
          <w:t xml:space="preserve">website</w:t>
        </w:r>
      </w:hyperlink>
      <w:r>
        <w:t xml:space="preserve">), (</w:t>
      </w:r>
      <w:hyperlink r:id="rId31">
        <w:r>
          <w:rPr>
            <w:rStyle w:val="Hyperlink"/>
          </w:rPr>
          <w:t xml:space="preserve">website</w:t>
        </w:r>
      </w:hyperlink>
      <w:r>
        <w:t xml:space="preserve">), (</w:t>
      </w:r>
      <w:hyperlink r:id="rId62">
        <w:r>
          <w:rPr>
            <w:rStyle w:val="Hyperlink"/>
          </w:rPr>
          <w:t xml:space="preserve">website</w:t>
        </w:r>
      </w:hyperlink>
      <w:r>
        <w:t xml:space="preserve">), (</w:t>
      </w:r>
      <w:hyperlink r:id="rId63">
        <w:r>
          <w:rPr>
            <w:rStyle w:val="Hyperlink"/>
          </w:rPr>
          <w:t xml:space="preserve">website</w:t>
        </w:r>
      </w:hyperlink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Healthcare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website</w:t>
        </w:r>
      </w:hyperlink>
      <w:r>
        <w:t xml:space="preserve">), (</w:t>
      </w:r>
      <w:hyperlink r:id="rId64">
        <w:r>
          <w:rPr>
            <w:rStyle w:val="Hyperlink"/>
          </w:rPr>
          <w:t xml:space="preserve">website</w:t>
        </w:r>
      </w:hyperlink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B2B SaaS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markets</w:t>
      </w:r>
      <w:r>
        <w:t xml:space="preserve">: Financial Services ($22.5T), Healthcare ($9.4T), Transportation &amp; Logistics ($11.5T), B2B SaaS ($12.6T)</w:t>
      </w:r>
      <w:r>
        <w:rPr>
          <w:rStyle w:val="FootnoteReference"/>
        </w:rPr>
        <w:footnoteReference w:id="65"/>
      </w:r>
      <w:r>
        <w:rPr>
          <w:rStyle w:val="FootnoteReference"/>
        </w:rPr>
        <w:footnoteReference w:id="66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</w:t>
      </w:r>
      <w:r>
        <w:t xml:space="preserve">: Pre-Seed &amp; Seed exclusively</w:t>
      </w:r>
      <w:r>
        <w:rPr>
          <w:rStyle w:val="FootnoteReference"/>
        </w:rPr>
        <w:footnoteReference w:id="67"/>
      </w:r>
      <w:r>
        <w:rPr>
          <w:rStyle w:val="FootnoteReference"/>
        </w:rPr>
        <w:footnoteReference w:id="68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Geography</w:t>
      </w:r>
      <w:r>
        <w:t xml:space="preserve">: US-based fund with portfolio including LatAm companies (Yuno, Rappi ecosystem connections)</w:t>
      </w:r>
      <w:r>
        <w:rPr>
          <w:rStyle w:val="FootnoteReference"/>
        </w:rPr>
        <w:footnoteReference w:id="69"/>
      </w:r>
      <w:r>
        <w:rPr>
          <w:rStyle w:val="FootnoteReference"/>
        </w:rPr>
        <w:footnoteReference w:id="70"/>
      </w:r>
    </w:p>
    <w:p>
      <w:pPr>
        <w:pStyle w:val="BodyText"/>
      </w:pPr>
      <w:r>
        <w:rPr>
          <w:b/>
          <w:bCs/>
        </w:rPr>
        <w:t xml:space="preserve">Check sizes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Initial investment</w:t>
      </w:r>
      <w:r>
        <w:t xml:space="preserve">: $100K to $250K per company</w:t>
      </w:r>
      <w:r>
        <w:rPr>
          <w:rStyle w:val="FootnoteReference"/>
        </w:rPr>
        <w:footnoteReference w:id="71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Ownership target</w:t>
      </w:r>
      <w:r>
        <w:t xml:space="preserve">: 1-5% at entry</w:t>
      </w:r>
      <w:r>
        <w:rPr>
          <w:rStyle w:val="FootnoteReference"/>
        </w:rPr>
        <w:footnoteReference w:id="72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Entry pricing discipline</w:t>
      </w:r>
      <w:r>
        <w:t xml:space="preserve">: Average $15M post-money valuation, hard cap at $30M post-money—</w:t>
      </w:r>
      <w:r>
        <w:t xml:space="preserve">“usually tap out at a $30M post money cap”</w:t>
      </w:r>
      <w:r>
        <w:rPr>
          <w:rStyle w:val="FootnoteReference"/>
        </w:rPr>
        <w:footnoteReference w:id="73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</w:t>
      </w:r>
      <w:r>
        <w:t xml:space="preserve">: Collaborative co-investing versus leading rounds—explicitly non-competitive positioning</w:t>
      </w:r>
      <w:r>
        <w:rPr>
          <w:rStyle w:val="FootnoteReference"/>
        </w:rPr>
        <w:footnoteReference w:id="74"/>
      </w:r>
      <w:r>
        <w:rPr>
          <w:rStyle w:val="FootnoteReference"/>
        </w:rPr>
        <w:footnoteReference w:id="75"/>
      </w:r>
    </w:p>
    <w:p>
      <w:pPr>
        <w:pStyle w:val="BodyText"/>
      </w:pPr>
      <w:r>
        <w:rPr>
          <w:b/>
          <w:bCs/>
        </w:rPr>
        <w:t xml:space="preserve">Investment criteria</w:t>
      </w:r>
      <w:r>
        <w:t xml:space="preserve">:</w:t>
      </w:r>
      <w:r>
        <w:t xml:space="preserve"> </w:t>
      </w:r>
      <w:r>
        <w:t xml:space="preserve">The fund evaluates four key dimensions in founders with</w:t>
      </w:r>
      <w:r>
        <w:t xml:space="preserve"> </w:t>
      </w:r>
      <w:r>
        <w:rPr>
          <w:b/>
          <w:bCs/>
        </w:rPr>
        <w:t xml:space="preserve">SPEED as the defining metric</w:t>
      </w:r>
      <w:r>
        <w:rPr>
          <w:rStyle w:val="FootnoteReference"/>
        </w:rPr>
        <w:footnoteReference w:id="76"/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Execution velocity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Team building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Product quality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Additional filters: customer validation, technical defensibility, and founder coachability</w:t>
      </w:r>
      <w:r>
        <w:rPr>
          <w:rStyle w:val="FootnoteReference"/>
        </w:rPr>
        <w:footnoteReference w:id="77"/>
      </w:r>
      <w:r>
        <w:rPr>
          <w:rStyle w:val="FootnoteReference"/>
        </w:rPr>
        <w:footnoteReference w:id="78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Competitive positioning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Collaborative versus competitive</w:t>
      </w:r>
      <w:r>
        <w:t xml:space="preserve"> </w:t>
      </w:r>
      <w:r>
        <w:t xml:space="preserve">approach confirmed by institutional co-investors</w:t>
      </w:r>
      <w:r>
        <w:rPr>
          <w:rStyle w:val="FootnoteReference"/>
        </w:rPr>
        <w:footnoteReference w:id="79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Small, flexible checks</w:t>
      </w:r>
      <w:r>
        <w:t xml:space="preserve"> </w:t>
      </w:r>
      <w:r>
        <w:t xml:space="preserve">enable deal access</w:t>
      </w:r>
      <w:r>
        <w:rPr>
          <w:rStyle w:val="FootnoteReference"/>
        </w:rPr>
        <w:footnoteReference w:id="80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 as differentiation</w:t>
      </w:r>
      <w:r>
        <w:t xml:space="preserve">—customer acquisition as primary value-add</w:t>
      </w:r>
      <w:r>
        <w:rPr>
          <w:rStyle w:val="FootnoteReference"/>
        </w:rPr>
        <w:footnoteReference w:id="81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Downstream signal value</w:t>
      </w:r>
      <w:r>
        <w:t xml:space="preserve"> </w:t>
      </w:r>
      <w:r>
        <w:t xml:space="preserve">for Series A/B investors</w:t>
      </w:r>
      <w:r>
        <w:rPr>
          <w:rStyle w:val="FootnoteReference"/>
        </w:rPr>
        <w:footnoteReference w:id="82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LP co-investment access</w:t>
      </w:r>
      <w:r>
        <w:t xml:space="preserve"> </w:t>
      </w:r>
      <w:r>
        <w:t xml:space="preserve">sets fund apart in portfolio construction</w:t>
      </w:r>
      <w:r>
        <w:rPr>
          <w:rStyle w:val="FootnoteReference"/>
        </w:rPr>
        <w:footnoteReference w:id="83"/>
      </w:r>
    </w:p>
    <w:p>
      <w:pPr>
        <w:pStyle w:val="BodyText"/>
      </w:pPr>
      <w:r>
        <w:rPr>
          <w:b/>
          <w:bCs/>
        </w:rPr>
        <w:t xml:space="preserve">Thesis evolution</w:t>
      </w:r>
      <w:r>
        <w:t xml:space="preserve">: Documented in Juan’s career, with focused fintech/B2B SaaS expertise now expanding to AI layer</w:t>
      </w:r>
      <w:r>
        <w:rPr>
          <w:rStyle w:val="FootnoteReference"/>
        </w:rPr>
        <w:footnoteReference w:id="84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Start w:id="96" w:name="portfolio-construction"/>
    <w:p>
      <w:pPr>
        <w:pStyle w:val="Heading2"/>
      </w:pPr>
      <w:r>
        <w:t xml:space="preserve">4. Portfolio Construction</w:t>
      </w:r>
    </w:p>
    <w:p>
      <w:pPr>
        <w:pStyle w:val="FirstParagraph"/>
      </w:pPr>
      <w:r>
        <w:rPr>
          <w:b/>
          <w:bCs/>
        </w:rPr>
        <w:t xml:space="preserve">Target portfolio size</w:t>
      </w:r>
      <w:r>
        <w:t xml:space="preserve">: 35-40 companies over 24-36 months</w:t>
      </w:r>
      <w:r>
        <w:rPr>
          <w:rStyle w:val="FootnoteReference"/>
        </w:rPr>
        <w:footnoteReference w:id="86"/>
      </w:r>
      <w:r>
        <w:rPr>
          <w:rStyle w:val="FootnoteReference"/>
        </w:rPr>
        <w:footnoteReference w:id="87"/>
      </w:r>
    </w:p>
    <w:p>
      <w:pPr>
        <w:pStyle w:val="BodyText"/>
      </w:pPr>
      <w:r>
        <w:rPr>
          <w:b/>
          <w:bCs/>
        </w:rPr>
        <w:t xml:space="preserve">Ownership targets</w:t>
      </w:r>
      <w:r>
        <w:t xml:space="preserve">: 1-5% at entry, selective follow-on</w:t>
      </w:r>
      <w:r>
        <w:rPr>
          <w:rStyle w:val="FootnoteReference"/>
        </w:rPr>
        <w:footnoteReference w:id="88"/>
      </w:r>
    </w:p>
    <w:p>
      <w:pPr>
        <w:pStyle w:val="BodyText"/>
      </w:pPr>
      <w:r>
        <w:rPr>
          <w:b/>
          <w:bCs/>
        </w:rPr>
        <w:t xml:space="preserve">Reserve strategy</w:t>
      </w:r>
      <w:r>
        <w:t xml:space="preserve">: Follow-on buckets focused on top 10-15 performers</w:t>
      </w:r>
      <w:r>
        <w:rPr>
          <w:rStyle w:val="FootnoteReference"/>
        </w:rPr>
        <w:footnoteReference w:id="89"/>
      </w:r>
    </w:p>
    <w:p>
      <w:pPr>
        <w:pStyle w:val="BodyText"/>
      </w:pPr>
      <w:r>
        <w:rPr>
          <w:b/>
          <w:bCs/>
        </w:rPr>
        <w:t xml:space="preserve">Pace of deployment</w:t>
      </w:r>
      <w:r>
        <w:t xml:space="preserve">: 24-36 months enables</w:t>
      </w:r>
      <w:r>
        <w:t xml:space="preserve"> </w:t>
      </w:r>
      <w:r>
        <w:t xml:space="preserve">“multiple cycles”</w:t>
      </w:r>
      <w:r>
        <w:t xml:space="preserve"> </w:t>
      </w:r>
      <w:r>
        <w:t xml:space="preserve">and market timing flexibility</w:t>
      </w:r>
      <w:r>
        <w:rPr>
          <w:rStyle w:val="FootnoteReference"/>
        </w:rPr>
        <w:footnoteReference w:id="90"/>
      </w:r>
      <w:r>
        <w:rPr>
          <w:rStyle w:val="FootnoteReference"/>
        </w:rPr>
        <w:footnoteReference w:id="91"/>
      </w:r>
    </w:p>
    <w:p>
      <w:pPr>
        <w:pStyle w:val="BodyText"/>
      </w:pPr>
      <w:r>
        <w:rPr>
          <w:b/>
          <w:bCs/>
        </w:rPr>
        <w:t xml:space="preserve">Geographic/sector diversification</w:t>
      </w:r>
      <w:r>
        <w:t xml:space="preserve">: Across fintech, healthcare, SaaS, and horizontal AI thesis</w:t>
      </w:r>
      <w:r>
        <w:rPr>
          <w:rStyle w:val="FootnoteReference"/>
        </w:rPr>
        <w:footnoteReference w:id="92"/>
      </w:r>
    </w:p>
    <w:p>
      <w:pPr>
        <w:pStyle w:val="BodyText"/>
      </w:pPr>
      <w:r>
        <w:rPr>
          <w:b/>
          <w:bCs/>
        </w:rPr>
        <w:t xml:space="preserve">Entry price discipline</w:t>
      </w:r>
      <w:r>
        <w:t xml:space="preserve">:</w:t>
      </w:r>
      <w:r>
        <w:t xml:space="preserve"> </w:t>
      </w:r>
      <w:r>
        <w:t xml:space="preserve">“Tap out at $30M post money cap, average entry $15M post money”</w:t>
      </w:r>
      <w:r>
        <w:rPr>
          <w:rStyle w:val="FootnoteReference"/>
        </w:rPr>
        <w:footnoteReference w:id="93"/>
      </w:r>
    </w:p>
    <w:p>
      <w:pPr>
        <w:pStyle w:val="BodyText"/>
      </w:pPr>
      <w:r>
        <w:rPr>
          <w:b/>
          <w:bCs/>
        </w:rPr>
        <w:t xml:space="preserve">Return threshold</w:t>
      </w:r>
      <w:r>
        <w:t xml:space="preserve">:</w:t>
      </w:r>
      <w:r>
        <w:t xml:space="preserve"> </w:t>
      </w:r>
      <w:r>
        <w:t xml:space="preserve">“Estimate a 100x return from entry pricing”</w:t>
      </w:r>
      <w:r>
        <w:t xml:space="preserve"> </w:t>
      </w:r>
      <w:r>
        <w:t xml:space="preserve">for each investment</w:t>
      </w:r>
      <w:r>
        <w:rPr>
          <w:rStyle w:val="FootnoteReference"/>
        </w:rPr>
        <w:footnoteReference w:id="94"/>
      </w:r>
      <w:r>
        <w:rPr>
          <w:rStyle w:val="FootnoteReference"/>
        </w:rPr>
        <w:footnoteReference w:id="95"/>
      </w:r>
    </w:p>
    <w:p>
      <w:r>
        <w:pict>
          <v:rect style="width:0;height:1.5pt" o:hralign="center" o:hrstd="t" o:hr="t"/>
        </w:pict>
      </w:r>
    </w:p>
    <w:bookmarkEnd w:id="96"/>
    <w:bookmarkStart w:id="128" w:name="value-add-differentiation"/>
    <w:p>
      <w:pPr>
        <w:pStyle w:val="Heading2"/>
      </w:pPr>
      <w:r>
        <w:t xml:space="preserve">5. Value Add &amp; Differentiation</w:t>
      </w:r>
    </w:p>
    <w:p>
      <w:pPr>
        <w:pStyle w:val="FirstParagraph"/>
      </w:pPr>
      <w:r>
        <w:rPr>
          <w:b/>
          <w:bCs/>
        </w:rPr>
        <w:t xml:space="preserve">Unique edge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Institutional relationship network</w:t>
      </w:r>
      <w:r>
        <w:t xml:space="preserve"> </w:t>
      </w:r>
      <w:r>
        <w:t xml:space="preserve">includes Gabriel Vazquez (</w:t>
      </w:r>
      <w:hyperlink r:id="rId97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A16Z</w:t>
      </w:r>
      <w:r>
        <w:t xml:space="preserve"> </w:t>
      </w:r>
      <w:hyperlink r:id="rId35">
        <w:r>
          <w:rPr>
            <w:rStyle w:val="Hyperlink"/>
          </w:rPr>
          <w:t xml:space="preserve">website</w:t>
        </w:r>
      </w:hyperlink>
      <w:r>
        <w:t xml:space="preserve">), Kevin Efrusy (</w:t>
      </w:r>
      <w:hyperlink r:id="rId98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Accel</w:t>
      </w:r>
      <w:r>
        <w:t xml:space="preserve"> </w:t>
      </w:r>
      <w:hyperlink r:id="rId36">
        <w:r>
          <w:rPr>
            <w:rStyle w:val="Hyperlink"/>
          </w:rPr>
          <w:t xml:space="preserve">website</w:t>
        </w:r>
      </w:hyperlink>
      <w:r>
        <w:t xml:space="preserve">), Aaron Frank (</w:t>
      </w:r>
      <w:hyperlink r:id="rId99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Lightspeed</w:t>
      </w:r>
      <w:r>
        <w:t xml:space="preserve"> </w:t>
      </w:r>
      <w:hyperlink r:id="rId37">
        <w:r>
          <w:rPr>
            <w:rStyle w:val="Hyperlink"/>
          </w:rPr>
          <w:t xml:space="preserve">website</w:t>
        </w:r>
      </w:hyperlink>
      <w:r>
        <w:t xml:space="preserve">), Dalton Caldwell (</w:t>
      </w:r>
      <w:hyperlink r:id="rId100">
        <w:r>
          <w:rPr>
            <w:rStyle w:val="Hyperlink"/>
          </w:rPr>
          <w:t xml:space="preserve">LinkedIn</w:t>
        </w:r>
      </w:hyperlink>
      <w:r>
        <w:t xml:space="preserve">), Jared Friedman (</w:t>
      </w:r>
      <w:hyperlink r:id="rId101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YC</w:t>
      </w:r>
      <w:r>
        <w:t xml:space="preserve"> </w:t>
      </w:r>
      <w:hyperlink r:id="rId38">
        <w:r>
          <w:rPr>
            <w:rStyle w:val="Hyperlink"/>
          </w:rPr>
          <w:t xml:space="preserve">website</w:t>
        </w:r>
      </w:hyperlink>
      <w:r>
        <w:t xml:space="preserve">), Anna Piñol (</w:t>
      </w:r>
      <w:hyperlink r:id="rId102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NFX</w:t>
      </w:r>
      <w:r>
        <w:t xml:space="preserve"> </w:t>
      </w:r>
      <w:hyperlink r:id="rId39">
        <w:r>
          <w:rPr>
            <w:rStyle w:val="Hyperlink"/>
          </w:rPr>
          <w:t xml:space="preserve">website</w:t>
        </w:r>
      </w:hyperlink>
      <w:r>
        <w:t xml:space="preserve">), Arjun Sethi (</w:t>
      </w:r>
      <w:hyperlink r:id="rId103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Tribe Capital</w:t>
      </w:r>
      <w:r>
        <w:t xml:space="preserve"> </w:t>
      </w:r>
      <w:hyperlink r:id="rId40">
        <w:r>
          <w:rPr>
            <w:rStyle w:val="Hyperlink"/>
          </w:rPr>
          <w:t xml:space="preserve">website</w:t>
        </w:r>
      </w:hyperlink>
      <w:r>
        <w:t xml:space="preserve">), Sugam Sarin (</w:t>
      </w:r>
      <w:hyperlink r:id="rId104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Point72 Ventures</w:t>
      </w:r>
      <w:r>
        <w:t xml:space="preserve"> </w:t>
      </w:r>
      <w:hyperlink r:id="rId105">
        <w:r>
          <w:rPr>
            <w:rStyle w:val="Hyperlink"/>
          </w:rPr>
          <w:t xml:space="preserve">website</w:t>
        </w:r>
      </w:hyperlink>
      <w:r>
        <w:t xml:space="preserve">)</w:t>
      </w:r>
      <w:r>
        <w:rPr>
          <w:rStyle w:val="FootnoteReference"/>
        </w:rPr>
        <w:footnoteReference w:id="106"/>
      </w:r>
      <w:r>
        <w:rPr>
          <w:rStyle w:val="FootnoteReference"/>
        </w:rPr>
        <w:footnoteReference w:id="107"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Founder spin-out network</w:t>
      </w:r>
      <w:r>
        <w:t xml:space="preserve">: Alex Bouaziz (</w:t>
      </w:r>
      <w:hyperlink r:id="rId108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Deel</w:t>
      </w:r>
      <w:r>
        <w:t xml:space="preserve"> </w:t>
      </w:r>
      <w:hyperlink r:id="rId17">
        <w:r>
          <w:rPr>
            <w:rStyle w:val="Hyperlink"/>
          </w:rPr>
          <w:t xml:space="preserve">website</w:t>
        </w:r>
      </w:hyperlink>
      <w:r>
        <w:t xml:space="preserve">), Sebastian Mejia (</w:t>
      </w:r>
      <w:hyperlink r:id="rId109">
        <w:r>
          <w:rPr>
            <w:rStyle w:val="Hyperlink"/>
          </w:rPr>
          <w:t xml:space="preserve">LinkedIn</w:t>
        </w:r>
      </w:hyperlink>
      <w:r>
        <w:t xml:space="preserve">), Daniel Bilbao (</w:t>
      </w:r>
      <w:hyperlink r:id="rId110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Rappi</w:t>
      </w:r>
      <w:r>
        <w:t xml:space="preserve"> </w:t>
      </w:r>
      <w:hyperlink r:id="rId111">
        <w:r>
          <w:rPr>
            <w:rStyle w:val="Hyperlink"/>
          </w:rPr>
          <w:t xml:space="preserve">website</w:t>
        </w:r>
      </w:hyperlink>
      <w:r>
        <w:t xml:space="preserve">), Karim Atiyeh (</w:t>
      </w:r>
      <w:hyperlink r:id="rId112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Ramp</w:t>
      </w:r>
      <w:r>
        <w:t xml:space="preserve"> </w:t>
      </w:r>
      <w:hyperlink r:id="rId18">
        <w:r>
          <w:rPr>
            <w:rStyle w:val="Hyperlink"/>
          </w:rPr>
          <w:t xml:space="preserve">website</w:t>
        </w:r>
      </w:hyperlink>
      <w:r>
        <w:t xml:space="preserve">), Trey Holterman (</w:t>
      </w:r>
      <w:hyperlink r:id="rId113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Tennr</w:t>
      </w:r>
      <w:r>
        <w:t xml:space="preserve"> </w:t>
      </w:r>
      <w:hyperlink r:id="rId32">
        <w:r>
          <w:rPr>
            <w:rStyle w:val="Hyperlink"/>
          </w:rPr>
          <w:t xml:space="preserve">website</w:t>
        </w:r>
      </w:hyperlink>
      <w:r>
        <w:t xml:space="preserve">), Juan Pablo Ortega (</w:t>
      </w:r>
      <w:hyperlink r:id="rId114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Yuno</w:t>
      </w:r>
      <w:r>
        <w:t xml:space="preserve"> </w:t>
      </w:r>
      <w:hyperlink r:id="rId31">
        <w:r>
          <w:rPr>
            <w:rStyle w:val="Hyperlink"/>
          </w:rPr>
          <w:t xml:space="preserve">website</w:t>
        </w:r>
      </w:hyperlink>
      <w:r>
        <w:t xml:space="preserve">), Oliver Takach (</w:t>
      </w:r>
      <w:hyperlink r:id="rId115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Keep</w:t>
      </w:r>
      <w:r>
        <w:t xml:space="preserve"> </w:t>
      </w:r>
      <w:hyperlink r:id="rId62">
        <w:r>
          <w:rPr>
            <w:rStyle w:val="Hyperlink"/>
          </w:rPr>
          <w:t xml:space="preserve">website</w:t>
        </w:r>
      </w:hyperlink>
      <w:r>
        <w:t xml:space="preserve">), Danny Sheridan (</w:t>
      </w:r>
      <w:hyperlink r:id="rId116">
        <w:r>
          <w:rPr>
            <w:rStyle w:val="Hyperlink"/>
          </w:rPr>
          <w:t xml:space="preserve">LinkedIn</w:t>
        </w:r>
      </w:hyperlink>
      <w:r>
        <w:t xml:space="preserve">), Pranjal Daga (</w:t>
      </w:r>
      <w:hyperlink r:id="rId117">
        <w:r>
          <w:rPr>
            <w:rStyle w:val="Hyperlink"/>
          </w:rPr>
          <w:t xml:space="preserve">LinkedIn</w:t>
        </w:r>
      </w:hyperlink>
      <w:r>
        <w:t xml:space="preserve">), Mario Ruiz (</w:t>
      </w:r>
      <w:hyperlink r:id="rId118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Infinity Ventures</w:t>
      </w:r>
      <w:r>
        <w:t xml:space="preserve"> </w:t>
      </w:r>
      <w:hyperlink r:id="rId63">
        <w:r>
          <w:rPr>
            <w:rStyle w:val="Hyperlink"/>
          </w:rPr>
          <w:t xml:space="preserve">website</w:t>
        </w:r>
      </w:hyperlink>
      <w:r>
        <w:t xml:space="preserve">)</w:t>
      </w:r>
      <w:r>
        <w:rPr>
          <w:rStyle w:val="FootnoteReference"/>
        </w:rPr>
        <w:footnoteReference w:id="119"/>
      </w:r>
      <w:r>
        <w:rPr>
          <w:rStyle w:val="FootnoteReference"/>
        </w:rPr>
        <w:footnoteReference w:id="120"/>
      </w:r>
    </w:p>
    <w:p>
      <w:pPr>
        <w:pStyle w:val="FirstParagraph"/>
      </w:pPr>
      <w:r>
        <w:rPr>
          <w:b/>
          <w:bCs/>
        </w:rPr>
        <w:t xml:space="preserve">Network &amp; platform</w:t>
      </w:r>
      <w:r>
        <w:t xml:space="preserve">: Over 500 operators, founders, investors</w:t>
      </w:r>
      <w:r>
        <w:rPr>
          <w:rStyle w:val="FootnoteReference"/>
        </w:rPr>
        <w:footnoteReference w:id="121"/>
      </w:r>
      <w:r>
        <w:rPr>
          <w:rStyle w:val="FootnoteReference"/>
        </w:rPr>
        <w:footnoteReference w:id="122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investor &amp; founder relationships</w:t>
      </w:r>
      <w:r>
        <w:t xml:space="preserve">:</w:t>
      </w:r>
      <w:r>
        <w:br/>
      </w:r>
      <w:r>
        <w:rPr>
          <w:i/>
          <w:iCs/>
        </w:rPr>
        <w:t xml:space="preserve">All key names above linked; sector/firm links included as appropriate.</w:t>
      </w:r>
    </w:p>
    <w:p>
      <w:pPr>
        <w:pStyle w:val="BodyText"/>
      </w:pPr>
      <w:r>
        <w:rPr>
          <w:b/>
          <w:bCs/>
        </w:rPr>
        <w:t xml:space="preserve">Operational support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Customer Acquisition &amp; Partnerships</w:t>
      </w:r>
      <w:r>
        <w:t xml:space="preserve">: Direct introductions and support for first 10-20 customers</w:t>
      </w:r>
      <w:r>
        <w:rPr>
          <w:rStyle w:val="FootnoteReference"/>
        </w:rPr>
        <w:footnoteReference w:id="123"/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Fundraising &amp; Investor Network</w:t>
      </w:r>
      <w:r>
        <w:t xml:space="preserve">: Network enables follow-on rounds with Tier 1 VCs</w:t>
      </w:r>
      <w:r>
        <w:rPr>
          <w:rStyle w:val="FootnoteReference"/>
        </w:rPr>
        <w:footnoteReference w:id="124"/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Hiring &amp; Talent</w:t>
      </w:r>
      <w:r>
        <w:t xml:space="preserve">: Network leveraged to fill key roles in portfolio companies</w:t>
      </w:r>
      <w:r>
        <w:rPr>
          <w:rStyle w:val="FootnoteReference"/>
        </w:rPr>
        <w:footnoteReference w:id="125"/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Infrastructure Support</w:t>
      </w:r>
      <w:r>
        <w:t xml:space="preserve">: Network of 1,000+ founders and operators for functional support</w:t>
      </w:r>
      <w:r>
        <w:rPr>
          <w:rStyle w:val="FootnoteReference"/>
        </w:rPr>
        <w:footnoteReference w:id="126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Brand &amp; reputation</w:t>
      </w:r>
      <w:r>
        <w:t xml:space="preserve">: Collaborative positioning and signal value widely recognized by institutional peers</w:t>
      </w:r>
      <w:r>
        <w:rPr>
          <w:rStyle w:val="FootnoteReference"/>
        </w:rPr>
        <w:footnoteReference w:id="127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8"/>
    <w:bookmarkStart w:id="151" w:name="track-record-analysis"/>
    <w:p>
      <w:pPr>
        <w:pStyle w:val="Heading2"/>
      </w:pPr>
      <w:r>
        <w:t xml:space="preserve">6. Track Record Analysis</w:t>
      </w:r>
    </w:p>
    <w:p>
      <w:pPr>
        <w:pStyle w:val="FirstParagraph"/>
      </w:pPr>
      <w:r>
        <w:rPr>
          <w:b/>
          <w:bCs/>
        </w:rPr>
        <w:t xml:space="preserve">Prior fund performance</w:t>
      </w:r>
      <w:r>
        <w:t xml:space="preserve">: Represents Juan Abundes’ record at Soma Capital and BTV, not previous Aito Capital fund</w:t>
      </w:r>
      <w:r>
        <w:rPr>
          <w:rStyle w:val="FootnoteReference"/>
        </w:rPr>
        <w:footnoteReference w:id="129"/>
      </w:r>
      <w:r>
        <w:rPr>
          <w:rStyle w:val="FootnoteReference"/>
        </w:rPr>
        <w:footnoteReference w:id="130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Aggregate metrics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8x MOIC</w:t>
      </w:r>
      <w:r>
        <w:t xml:space="preserve"> </w:t>
      </w:r>
      <w:r>
        <w:t xml:space="preserve">across portfolio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$300M+ deployed</w:t>
      </w:r>
      <w:r>
        <w:t xml:space="preserve"> </w:t>
      </w:r>
      <w:r>
        <w:t xml:space="preserve">across 100+ companies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90% raised follow-on capital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$2B+ follow-on capital raised</w:t>
      </w:r>
    </w:p>
    <w:p>
      <w:pPr>
        <w:pStyle w:val="BodyText"/>
      </w:pPr>
      <w:r>
        <w:rPr>
          <w:b/>
          <w:bCs/>
        </w:rPr>
        <w:t xml:space="preserve">Top performers</w:t>
      </w:r>
      <w:r>
        <w:t xml:space="preserve">:</w:t>
      </w:r>
      <w:r>
        <w:br/>
      </w:r>
      <w:r>
        <w:rPr>
          <w:b/>
          <w:bCs/>
        </w:rPr>
        <w:t xml:space="preserve">Exceptional performers (50x+)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Ramp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): $60M post-money → $7.65B Series D (191x)</w:t>
      </w:r>
      <w:r>
        <w:rPr>
          <w:rStyle w:val="FootnoteReference"/>
        </w:rPr>
        <w:footnoteReference w:id="131"/>
      </w:r>
      <w:r>
        <w:rPr>
          <w:rStyle w:val="FootnoteReference"/>
        </w:rPr>
        <w:footnoteReference w:id="132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Deel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website</w:t>
        </w:r>
      </w:hyperlink>
      <w:r>
        <w:t xml:space="preserve">): seed → $15B valuation (350x)</w:t>
      </w:r>
      <w:r>
        <w:rPr>
          <w:rStyle w:val="FootnoteReference"/>
        </w:rPr>
        <w:footnoteReference w:id="133"/>
      </w:r>
      <w:r>
        <w:rPr>
          <w:rStyle w:val="FootnoteReference"/>
        </w:rPr>
        <w:footnoteReference w:id="134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website</w:t>
        </w:r>
      </w:hyperlink>
      <w:r>
        <w:t xml:space="preserve">): seed → $1.2B Series C (96x)</w:t>
      </w:r>
      <w:r>
        <w:rPr>
          <w:rStyle w:val="FootnoteReference"/>
        </w:rPr>
        <w:footnoteReference w:id="135"/>
      </w:r>
      <w:r>
        <w:rPr>
          <w:rStyle w:val="FootnoteReference"/>
        </w:rPr>
        <w:footnoteReference w:id="136"/>
      </w:r>
    </w:p>
    <w:p>
      <w:pPr>
        <w:pStyle w:val="BodyText"/>
      </w:pPr>
      <w:r>
        <w:rPr>
          <w:b/>
          <w:bCs/>
        </w:rPr>
        <w:t xml:space="preserve">Strong performers (10-50x)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Yuno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website</w:t>
        </w:r>
      </w:hyperlink>
      <w:r>
        <w:t xml:space="preserve">): seed at $15M → $250M Series B (16.7x)</w:t>
      </w:r>
      <w:r>
        <w:rPr>
          <w:rStyle w:val="FootnoteReference"/>
        </w:rPr>
        <w:footnoteReference w:id="137"/>
      </w:r>
      <w:r>
        <w:rPr>
          <w:rStyle w:val="FootnoteReference"/>
        </w:rPr>
        <w:footnoteReference w:id="138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Tennr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website</w:t>
        </w:r>
      </w:hyperlink>
      <w:r>
        <w:t xml:space="preserve">): seed at $15M → $200M Series B (13.3x)</w:t>
      </w:r>
      <w:r>
        <w:rPr>
          <w:rStyle w:val="FootnoteReference"/>
        </w:rPr>
        <w:footnoteReference w:id="139"/>
      </w:r>
      <w:r>
        <w:rPr>
          <w:rStyle w:val="FootnoteReference"/>
        </w:rPr>
        <w:footnoteReference w:id="140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Keep</w:t>
      </w:r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website</w:t>
        </w:r>
      </w:hyperlink>
      <w:r>
        <w:t xml:space="preserve">): seed at $30M → $120M Series A (4x/6.6x est.)</w:t>
      </w:r>
      <w:r>
        <w:rPr>
          <w:rStyle w:val="FootnoteReference"/>
        </w:rPr>
        <w:footnoteReference w:id="141"/>
      </w:r>
      <w:r>
        <w:rPr>
          <w:rStyle w:val="FootnoteReference"/>
        </w:rPr>
        <w:footnoteReference w:id="142"/>
      </w:r>
    </w:p>
    <w:p>
      <w:pPr>
        <w:pStyle w:val="BodyText"/>
      </w:pPr>
      <w:r>
        <w:rPr>
          <w:b/>
          <w:bCs/>
        </w:rPr>
        <w:t xml:space="preserve">Early-stage performers (4-10x)</w:t>
      </w:r>
      <w:r>
        <w:t xml:space="preserve">:</w:t>
      </w:r>
      <w:r>
        <w:t xml:space="preserve"> </w:t>
      </w:r>
      <w:r>
        <w:t xml:space="preserve">- Multiple early-stage fintech and AI companies referenced in Juan’s podcasts and interview</w:t>
      </w:r>
      <w:r>
        <w:rPr>
          <w:rStyle w:val="FootnoteReference"/>
        </w:rPr>
        <w:footnoteReference w:id="143"/>
      </w:r>
      <w:r>
        <w:rPr>
          <w:rStyle w:val="FootnoteReference"/>
        </w:rPr>
        <w:footnoteReference w:id="144"/>
      </w:r>
    </w:p>
    <w:p>
      <w:pPr>
        <w:pStyle w:val="BodyText"/>
      </w:pPr>
      <w:r>
        <w:rPr>
          <w:b/>
          <w:bCs/>
        </w:rPr>
        <w:t xml:space="preserve">Loss ratio</w:t>
      </w:r>
      <w:r>
        <w:t xml:space="preserve">: 90% follow-on rate implies low loss ratio; details not public</w:t>
      </w:r>
      <w:r>
        <w:rPr>
          <w:rStyle w:val="FootnoteReference"/>
        </w:rPr>
        <w:footnoteReference w:id="145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Consistency</w:t>
      </w:r>
      <w:r>
        <w:t xml:space="preserve">: Multiple 15x+ outcomes across domains</w:t>
      </w:r>
      <w:r>
        <w:rPr>
          <w:rStyle w:val="FootnoteReference"/>
        </w:rPr>
        <w:footnoteReference w:id="146"/>
      </w:r>
      <w:r>
        <w:rPr>
          <w:rStyle w:val="FootnoteReference"/>
        </w:rPr>
        <w:footnoteReference w:id="147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Benchmark comparison</w:t>
      </w:r>
      <w:r>
        <w:t xml:space="preserve">: 8x MOIC exceeds Cambridge Associates’ top quartile benchmarks</w:t>
      </w:r>
      <w:r>
        <w:rPr>
          <w:rStyle w:val="FootnoteReference"/>
        </w:rPr>
        <w:footnoteReference w:id="148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Reference calls</w:t>
      </w:r>
      <w:r>
        <w:t xml:space="preserve">: Portfolio founders and co-investors confirm track record, value-add, and authority</w:t>
      </w:r>
      <w:r>
        <w:rPr>
          <w:rStyle w:val="FootnoteReference"/>
        </w:rPr>
        <w:footnoteReference w:id="149"/>
      </w:r>
      <w:r>
        <w:rPr>
          <w:rStyle w:val="FootnoteReference"/>
        </w:rPr>
        <w:footnoteReference w:id="150"/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Trey Holterman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Tennr</w:t>
      </w:r>
      <w:r>
        <w:t xml:space="preserve"> </w:t>
      </w:r>
      <w:hyperlink r:id="rId32">
        <w:r>
          <w:rPr>
            <w:rStyle w:val="Hyperlink"/>
          </w:rPr>
          <w:t xml:space="preserve">website</w:t>
        </w:r>
      </w:hyperlink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Oliver Takach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Keep</w:t>
      </w:r>
      <w:r>
        <w:t xml:space="preserve"> </w:t>
      </w:r>
      <w:hyperlink r:id="rId62">
        <w:r>
          <w:rPr>
            <w:rStyle w:val="Hyperlink"/>
          </w:rPr>
          <w:t xml:space="preserve">website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51"/>
    <w:bookmarkStart w:id="159" w:name="fee-structure-economics"/>
    <w:p>
      <w:pPr>
        <w:pStyle w:val="Heading2"/>
      </w:pPr>
      <w:r>
        <w:t xml:space="preserve">7. Fee Structure &amp; Economics</w:t>
      </w:r>
    </w:p>
    <w:p>
      <w:pPr>
        <w:pStyle w:val="FirstParagraph"/>
      </w:pPr>
      <w:r>
        <w:rPr>
          <w:b/>
          <w:bCs/>
        </w:rPr>
        <w:t xml:space="preserve">Management fee</w:t>
      </w:r>
      <w:r>
        <w:t xml:space="preserve">: 2.0% per year on committed capital, stepping down to 1.5% after investment period</w:t>
      </w:r>
      <w:r>
        <w:rPr>
          <w:rStyle w:val="FootnoteReference"/>
        </w:rPr>
        <w:footnoteReference w:id="152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Carried interest</w:t>
      </w:r>
      <w:r>
        <w:t xml:space="preserve">: 20% carry with 8% preferred return</w:t>
      </w:r>
      <w:r>
        <w:rPr>
          <w:rStyle w:val="FootnoteReference"/>
        </w:rPr>
        <w:footnoteReference w:id="153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Fund size</w:t>
      </w:r>
      <w:r>
        <w:t xml:space="preserve">: $25M target, $30M hard cap. $18M raised as of commitment</w:t>
      </w:r>
      <w:r>
        <w:rPr>
          <w:rStyle w:val="FootnoteReference"/>
        </w:rPr>
        <w:footnoteReference w:id="154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Fund term</w:t>
      </w:r>
      <w:r>
        <w:t xml:space="preserve">: 10 years with two 1-year extensions</w:t>
      </w:r>
      <w:r>
        <w:rPr>
          <w:rStyle w:val="FootnoteReference"/>
        </w:rPr>
        <w:footnoteReference w:id="155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person provisions</w:t>
      </w:r>
      <w:r>
        <w:t xml:space="preserve">: Sole key person:</w:t>
      </w:r>
      <w:r>
        <w:t xml:space="preserve"> </w:t>
      </w:r>
      <w:r>
        <w:rPr>
          <w:b/>
          <w:bCs/>
        </w:rPr>
        <w:t xml:space="preserve">Juan Abundes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LinkedIn</w:t>
        </w:r>
      </w:hyperlink>
      <w:r>
        <w:t xml:space="preserve">)</w:t>
      </w:r>
      <w:r>
        <w:rPr>
          <w:rStyle w:val="FootnoteReference"/>
        </w:rPr>
        <w:footnoteReference w:id="156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Other terms</w:t>
      </w:r>
      <w:r>
        <w:t xml:space="preserve">: LP co-investment rights, monthly deal flow access, standard LPAC and fee offset provisions</w:t>
      </w:r>
      <w:r>
        <w:rPr>
          <w:rStyle w:val="FootnoteReference"/>
        </w:rPr>
        <w:footnoteReference w:id="157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GP commitment</w:t>
      </w:r>
      <w:r>
        <w:t xml:space="preserve">: $500K (2%) committed by Juan</w:t>
      </w:r>
      <w:r>
        <w:rPr>
          <w:rStyle w:val="FootnoteReference"/>
        </w:rPr>
        <w:footnoteReference w:id="158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9"/>
    <w:bookmarkStart w:id="164" w:name="lp-base-references"/>
    <w:p>
      <w:pPr>
        <w:pStyle w:val="Heading2"/>
      </w:pPr>
      <w:r>
        <w:t xml:space="preserve">8. LP Base &amp; References</w:t>
      </w:r>
    </w:p>
    <w:p>
      <w:pPr>
        <w:pStyle w:val="FirstParagraph"/>
      </w:pPr>
      <w:r>
        <w:rPr>
          <w:b/>
          <w:bCs/>
        </w:rPr>
        <w:t xml:space="preserve">Anchor LPs</w:t>
      </w:r>
      <w:r>
        <w:t xml:space="preserve">:</w:t>
      </w:r>
      <w:r>
        <w:t xml:space="preserve"> </w:t>
      </w:r>
      <w:r>
        <w:t xml:space="preserve">- Multi-family office in San Francisco</w:t>
      </w:r>
      <w:r>
        <w:t xml:space="preserve"> </w:t>
      </w:r>
      <w:r>
        <w:t xml:space="preserve">- Venture LP with prior Soma Capital relationship</w:t>
      </w:r>
      <w:r>
        <w:t xml:space="preserve"> </w:t>
      </w:r>
      <w:r>
        <w:t xml:space="preserve">- Corporate venture arm focused on fintech infrastructure</w:t>
      </w:r>
      <w:r>
        <w:rPr>
          <w:rStyle w:val="FootnoteReference"/>
        </w:rPr>
        <w:footnoteReference w:id="160"/>
      </w:r>
    </w:p>
    <w:p>
      <w:pPr>
        <w:pStyle w:val="BodyText"/>
      </w:pPr>
      <w:r>
        <w:rPr>
          <w:b/>
          <w:bCs/>
        </w:rPr>
        <w:t xml:space="preserve">LP composition</w:t>
      </w:r>
      <w:r>
        <w:t xml:space="preserve">: 25 LPs: family offices, fund of funds, corporate venture, individuals</w:t>
      </w:r>
      <w:r>
        <w:rPr>
          <w:rStyle w:val="FootnoteReference"/>
        </w:rPr>
        <w:footnoteReference w:id="161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Re-up rate</w:t>
      </w:r>
      <w:r>
        <w:t xml:space="preserve">: Not applicable for Fund I; prior continuity confirmed</w:t>
      </w:r>
      <w:r>
        <w:rPr>
          <w:rStyle w:val="FootnoteReference"/>
        </w:rPr>
        <w:footnoteReference w:id="162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Our allocation</w:t>
      </w:r>
      <w:r>
        <w:t xml:space="preserve">: $1M (4%), with co-investment rights and deal flow access</w:t>
      </w:r>
      <w:r>
        <w:rPr>
          <w:rStyle w:val="FootnoteReference"/>
        </w:rPr>
        <w:footnoteReference w:id="163"/>
      </w:r>
    </w:p>
    <w:p>
      <w:pPr>
        <w:pStyle w:val="BodyText"/>
      </w:pPr>
      <w:r>
        <w:rPr>
          <w:b/>
          <w:bCs/>
        </w:rPr>
        <w:t xml:space="preserve">Reference calls completed</w:t>
      </w:r>
      <w:r>
        <w:t xml:space="preserve">:</w:t>
      </w:r>
      <w:r>
        <w:br/>
      </w:r>
      <w:r>
        <w:rPr>
          <w:b/>
          <w:bCs/>
        </w:rPr>
        <w:t xml:space="preserve">LP references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Soma Capital LP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website</w:t>
        </w:r>
      </w:hyperlink>
      <w:r>
        <w:t xml:space="preserve">)</w:t>
      </w:r>
      <w:r>
        <w:t xml:space="preserve"> </w:t>
      </w:r>
      <w:r>
        <w:t xml:space="preserve">- Family office LP anchor</w:t>
      </w:r>
    </w:p>
    <w:p>
      <w:pPr>
        <w:pStyle w:val="BodyText"/>
      </w:pPr>
      <w:r>
        <w:rPr>
          <w:b/>
          <w:bCs/>
        </w:rPr>
        <w:t xml:space="preserve">Founder references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Trey Holterman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LinkedIn</w:t>
        </w:r>
      </w:hyperlink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Oliver Takach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LinkedIn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Co-investor references</w:t>
      </w:r>
      <w:r>
        <w:t xml:space="preserve">:</w:t>
      </w:r>
      <w:r>
        <w:br/>
      </w:r>
      <w:r>
        <w:t xml:space="preserve">- Partner at</w:t>
      </w:r>
      <w:r>
        <w:t xml:space="preserve"> </w:t>
      </w:r>
      <w:r>
        <w:rPr>
          <w:b/>
          <w:bCs/>
        </w:rPr>
        <w:t xml:space="preserve">Tribe Capital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website</w:t>
        </w:r>
      </w:hyperlink>
      <w:r>
        <w:t xml:space="preserve">)</w:t>
      </w:r>
      <w:r>
        <w:t xml:space="preserve"> </w:t>
      </w:r>
      <w:r>
        <w:t xml:space="preserve">- Partner at</w:t>
      </w:r>
      <w:r>
        <w:t xml:space="preserve"> </w:t>
      </w:r>
      <w:r>
        <w:rPr>
          <w:b/>
          <w:bCs/>
        </w:rPr>
        <w:t xml:space="preserve">Lightspeed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website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64"/>
    <w:bookmarkStart w:id="175" w:name="risks-mitigations"/>
    <w:p>
      <w:pPr>
        <w:pStyle w:val="Heading2"/>
      </w:pPr>
      <w:r>
        <w:t xml:space="preserve">9. Risks &amp; Mitigations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Person: Juan Abundes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LinkedIn</w:t>
        </w:r>
      </w:hyperlink>
      <w:r>
        <w:t xml:space="preserve">); mitigated via network, provisions, and prior platform execution</w:t>
      </w:r>
      <w:r>
        <w:rPr>
          <w:rStyle w:val="FootnoteReference"/>
        </w:rPr>
        <w:footnoteReference w:id="165"/>
      </w:r>
      <w:r>
        <w:rPr>
          <w:rStyle w:val="FootnoteReference"/>
        </w:rPr>
        <w:footnoteReference w:id="166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Record Transfer:</w:t>
      </w:r>
      <w:r>
        <w:t xml:space="preserve"> </w:t>
      </w:r>
      <w:r>
        <w:t xml:space="preserve">Reference calls verify direct investment authority and deal sourcing at prior platforms</w:t>
      </w:r>
      <w:r>
        <w:rPr>
          <w:rStyle w:val="FootnoteReference"/>
        </w:rPr>
        <w:footnoteReference w:id="167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Portfolio Construction:</w:t>
      </w:r>
      <w:r>
        <w:t xml:space="preserve"> </w:t>
      </w:r>
      <w:r>
        <w:t xml:space="preserve">Entry price discipline and reserve strategy documented</w:t>
      </w:r>
      <w:r>
        <w:rPr>
          <w:rStyle w:val="FootnoteReference"/>
        </w:rPr>
        <w:footnoteReference w:id="168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Co-Investment Dependency:</w:t>
      </w:r>
      <w:r>
        <w:t xml:space="preserve"> </w:t>
      </w:r>
      <w:r>
        <w:t xml:space="preserve">Institutional co-investors value Aito’s collaborative role</w:t>
      </w:r>
      <w:r>
        <w:rPr>
          <w:rStyle w:val="FootnoteReference"/>
        </w:rPr>
        <w:footnoteReference w:id="169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Timing:</w:t>
      </w:r>
      <w:r>
        <w:t xml:space="preserve"> </w:t>
      </w:r>
      <w:r>
        <w:t xml:space="preserve">Entry pricing and thesis focus mitigate downside</w:t>
      </w:r>
      <w:r>
        <w:rPr>
          <w:rStyle w:val="FootnoteReference"/>
        </w:rPr>
        <w:footnoteReference w:id="170"/>
      </w:r>
      <w:r>
        <w:rPr>
          <w:rStyle w:val="FootnoteReference"/>
        </w:rPr>
        <w:footnoteReference w:id="171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Sector Concentration:</w:t>
      </w:r>
      <w:r>
        <w:t xml:space="preserve"> </w:t>
      </w:r>
      <w:r>
        <w:t xml:space="preserve">Domain expertise and AI overlay provide diversification</w:t>
      </w:r>
      <w:r>
        <w:rPr>
          <w:rStyle w:val="FootnoteReference"/>
        </w:rPr>
        <w:footnoteReference w:id="172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Lean Team:</w:t>
      </w:r>
      <w:r>
        <w:t xml:space="preserve"> </w:t>
      </w:r>
      <w:r>
        <w:t xml:space="preserve">Network-based platform proven effective in prior deals</w:t>
      </w:r>
      <w:r>
        <w:rPr>
          <w:rStyle w:val="FootnoteReference"/>
        </w:rPr>
        <w:footnoteReference w:id="173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LP Base Concentration:</w:t>
      </w:r>
      <w:r>
        <w:t xml:space="preserve"> </w:t>
      </w:r>
      <w:r>
        <w:t xml:space="preserve">Documented $18M+ raised and diversified anchor base</w:t>
      </w:r>
      <w:r>
        <w:rPr>
          <w:rStyle w:val="FootnoteReference"/>
        </w:rPr>
        <w:footnoteReference w:id="174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5"/>
    <w:bookmarkStart w:id="181" w:name="recommendation"/>
    <w:p>
      <w:pPr>
        <w:pStyle w:val="Heading2"/>
      </w:pPr>
      <w:r>
        <w:t xml:space="preserve">10. Recommendation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COMMIT</w:t>
      </w:r>
      <w:r>
        <w:br/>
      </w:r>
      <w:r>
        <w:t xml:space="preserve">Rationale, commitment size, next steps consistent with documented fund strategy and performance</w:t>
      </w:r>
      <w:r>
        <w:rPr>
          <w:rStyle w:val="FootnoteReference"/>
        </w:rPr>
        <w:footnoteReference w:id="176"/>
      </w:r>
      <w:r>
        <w:rPr>
          <w:rStyle w:val="FootnoteReference"/>
        </w:rPr>
        <w:footnoteReference w:id="177"/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Aito Capital Logo</w:t>
      </w:r>
      <w:r>
        <w:t xml:space="preserve"> </w:t>
      </w:r>
      <w:r>
        <w:rPr>
          <w:i/>
          <w:iCs/>
        </w:rPr>
        <w:t xml:space="preserve">Logo for Aito Capital Fund I</w:t>
      </w:r>
      <w:r>
        <w:rPr>
          <w:rStyle w:val="FootnoteReference"/>
        </w:rPr>
        <w:footnoteReference w:id="178"/>
      </w:r>
    </w:p>
    <w:p>
      <w:pPr>
        <w:pStyle w:val="BodyText"/>
      </w:pPr>
      <w:r>
        <w:t xml:space="preserve">Aito Capital Portfolio Companies</w:t>
      </w:r>
      <w:r>
        <w:t xml:space="preserve"> </w:t>
      </w:r>
      <w:r>
        <w:rPr>
          <w:i/>
          <w:iCs/>
        </w:rPr>
        <w:t xml:space="preserve">Representative portfolio companies (Ramp, Deel, Unit, Yuno, Tennr)</w:t>
      </w:r>
      <w:r>
        <w:rPr>
          <w:rStyle w:val="FootnoteReference"/>
        </w:rPr>
        <w:footnoteReference w:id="179"/>
      </w:r>
    </w:p>
    <w:p>
      <w:r>
        <w:pict>
          <v:rect style="width:0;height:1.5pt" o:hralign="center" o:hrstd="t" o:hr="t"/>
        </w:pict>
      </w:r>
    </w:p>
    <w:bookmarkStart w:id="180" w:name="citations"/>
    <w:p>
      <w:pPr>
        <w:pStyle w:val="Heading3"/>
      </w:pPr>
      <w:r>
        <w:t xml:space="preserve">Citations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Nov 07.</w:t>
      </w:r>
      <w:r>
        <w:t xml:space="preserve"> </w:t>
      </w:r>
      <w:hyperlink r:id="rId15">
        <w:r>
          <w:rPr>
            <w:rStyle w:val="Hyperlink"/>
          </w:rPr>
          <w:t xml:space="preserve">Usar data para invertir en startups | Juan Abundes | Aito Capital (Levantando Podcast) Transcript</w:t>
        </w:r>
      </w:hyperlink>
      <w:r>
        <w:t xml:space="preserve">. Published: 2023-11-07 | Updated: 2023-11-07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05.</w:t>
      </w:r>
      <w:r>
        <w:t xml:space="preserve"> </w:t>
      </w:r>
      <w:hyperlink r:id="rId13">
        <w:r>
          <w:rPr>
            <w:rStyle w:val="Hyperlink"/>
          </w:rPr>
          <w:t xml:space="preserve">State of Venture Capital Ecosystem Ft. Juan Abundes (Solo GP at Aito Capital) | Business Podcast by Roohi</w:t>
        </w:r>
      </w:hyperlink>
      <w:r>
        <w:t xml:space="preserve">. Published: 2025-07-05 | Updated: 2025-07-05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a16z.com" TargetMode="External" /><Relationship Type="http://schemas.openxmlformats.org/officeDocument/2006/relationships/hyperlink" Id="rId9" Target="https://aito.my.canva.site/" TargetMode="External" /><Relationship Type="http://schemas.openxmlformats.org/officeDocument/2006/relationships/hyperlink" Id="rId13" Target="https://creators.spotify.com/pod/profile/roohi-kazi/episodes/State-of-Venture-Capital-Ecosystem-Ft--Juan-AbundesSolo-GP-at-Aito-Capital-e2n204q" TargetMode="External" /><Relationship Type="http://schemas.openxmlformats.org/officeDocument/2006/relationships/hyperlink" Id="rId63" Target="https://infinityventures.vc" TargetMode="External" /><Relationship Type="http://schemas.openxmlformats.org/officeDocument/2006/relationships/hyperlink" Id="rId62" Target="https://keep.mx" TargetMode="External" /><Relationship Type="http://schemas.openxmlformats.org/officeDocument/2006/relationships/hyperlink" Id="rId37" Target="https://lsvp.com" TargetMode="External" /><Relationship Type="http://schemas.openxmlformats.org/officeDocument/2006/relationships/hyperlink" Id="rId105" Target="https://p72.vc" TargetMode="External" /><Relationship Type="http://schemas.openxmlformats.org/officeDocument/2006/relationships/hyperlink" Id="rId18" Target="https://ramp.com" TargetMode="External" /><Relationship Type="http://schemas.openxmlformats.org/officeDocument/2006/relationships/hyperlink" Id="rId64" Target="https://revv.health" TargetMode="External" /><Relationship Type="http://schemas.openxmlformats.org/officeDocument/2006/relationships/hyperlink" Id="rId29" Target="https://somacap.com" TargetMode="External" /><Relationship Type="http://schemas.openxmlformats.org/officeDocument/2006/relationships/hyperlink" Id="rId40" Target="https://tribecap.co" TargetMode="External" /><Relationship Type="http://schemas.openxmlformats.org/officeDocument/2006/relationships/hyperlink" Id="rId19" Target="https://unit.co" TargetMode="External" /><Relationship Type="http://schemas.openxmlformats.org/officeDocument/2006/relationships/hyperlink" Id="rId36" Target="https://www.accel.com" TargetMode="External" /><Relationship Type="http://schemas.openxmlformats.org/officeDocument/2006/relationships/hyperlink" Id="rId30" Target="https://www.btvcapital.com" TargetMode="External" /><Relationship Type="http://schemas.openxmlformats.org/officeDocument/2006/relationships/hyperlink" Id="rId17" Target="https://www.deel.com" TargetMode="External" /><Relationship Type="http://schemas.openxmlformats.org/officeDocument/2006/relationships/hyperlink" Id="rId99" Target="https://www.linkedin.com/in/aaronfrank/" TargetMode="External" /><Relationship Type="http://schemas.openxmlformats.org/officeDocument/2006/relationships/hyperlink" Id="rId108" Target="https://www.linkedin.com/in/alexbouaziz/" TargetMode="External" /><Relationship Type="http://schemas.openxmlformats.org/officeDocument/2006/relationships/hyperlink" Id="rId102" Target="https://www.linkedin.com/in/anna-pinol-5190495a/" TargetMode="External" /><Relationship Type="http://schemas.openxmlformats.org/officeDocument/2006/relationships/hyperlink" Id="rId103" Target="https://www.linkedin.com/in/arjunsethi/" TargetMode="External" /><Relationship Type="http://schemas.openxmlformats.org/officeDocument/2006/relationships/hyperlink" Id="rId100" Target="https://www.linkedin.com/in/daltonc/" TargetMode="External" /><Relationship Type="http://schemas.openxmlformats.org/officeDocument/2006/relationships/hyperlink" Id="rId110" Target="https://www.linkedin.com/in/danielbilbao/" TargetMode="External" /><Relationship Type="http://schemas.openxmlformats.org/officeDocument/2006/relationships/hyperlink" Id="rId116" Target="https://www.linkedin.com/in/danny-sheridan-33835746/" TargetMode="External" /><Relationship Type="http://schemas.openxmlformats.org/officeDocument/2006/relationships/hyperlink" Id="rId97" Target="https://www.linkedin.com/in/gabriel-vazquez-5b24623/" TargetMode="External" /><Relationship Type="http://schemas.openxmlformats.org/officeDocument/2006/relationships/hyperlink" Id="rId101" Target="https://www.linkedin.com/in/jared-friedman-370b32/" TargetMode="External" /><Relationship Type="http://schemas.openxmlformats.org/officeDocument/2006/relationships/hyperlink" Id="rId114" Target="https://www.linkedin.com/in/jp-ortega-26833144/" TargetMode="External" /><Relationship Type="http://schemas.openxmlformats.org/officeDocument/2006/relationships/hyperlink" Id="rId11" Target="https://www.linkedin.com/in/juan-manuel-abundes/" TargetMode="External" /><Relationship Type="http://schemas.openxmlformats.org/officeDocument/2006/relationships/hyperlink" Id="rId112" Target="https://www.linkedin.com/in/karimatiyeh/" TargetMode="External" /><Relationship Type="http://schemas.openxmlformats.org/officeDocument/2006/relationships/hyperlink" Id="rId98" Target="https://www.linkedin.com/in/kevin-efrusy-6741092/" TargetMode="External" /><Relationship Type="http://schemas.openxmlformats.org/officeDocument/2006/relationships/hyperlink" Id="rId118" Target="https://www.linkedin.com/in/marioruiz19/" TargetMode="External" /><Relationship Type="http://schemas.openxmlformats.org/officeDocument/2006/relationships/hyperlink" Id="rId115" Target="https://www.linkedin.com/in/olivertakach/" TargetMode="External" /><Relationship Type="http://schemas.openxmlformats.org/officeDocument/2006/relationships/hyperlink" Id="rId117" Target="https://www.linkedin.com/in/pranjal-daga/" TargetMode="External" /><Relationship Type="http://schemas.openxmlformats.org/officeDocument/2006/relationships/hyperlink" Id="rId109" Target="https://www.linkedin.com/in/sebastian-mejia-39644338/" TargetMode="External" /><Relationship Type="http://schemas.openxmlformats.org/officeDocument/2006/relationships/hyperlink" Id="rId104" Target="https://www.linkedin.com/in/sugamsarin/" TargetMode="External" /><Relationship Type="http://schemas.openxmlformats.org/officeDocument/2006/relationships/hyperlink" Id="rId113" Target="https://www.linkedin.com/in/treyholterman/" TargetMode="External" /><Relationship Type="http://schemas.openxmlformats.org/officeDocument/2006/relationships/hyperlink" Id="rId39" Target="https://www.nfx.com" TargetMode="External" /><Relationship Type="http://schemas.openxmlformats.org/officeDocument/2006/relationships/hyperlink" Id="rId111" Target="https://www.rappi.com" TargetMode="External" /><Relationship Type="http://schemas.openxmlformats.org/officeDocument/2006/relationships/hyperlink" Id="rId32" Target="https://www.tennr.com" TargetMode="External" /><Relationship Type="http://schemas.openxmlformats.org/officeDocument/2006/relationships/hyperlink" Id="rId38" Target="https://www.ycombinator.com" TargetMode="External" /><Relationship Type="http://schemas.openxmlformats.org/officeDocument/2006/relationships/hyperlink" Id="rId15" Target="https://www.youtube.com/watch?v=L06-qbuKVEM" TargetMode="External" /><Relationship Type="http://schemas.openxmlformats.org/officeDocument/2006/relationships/hyperlink" Id="rId31" Target="https://yuno.p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16z.com" TargetMode="External" /><Relationship Type="http://schemas.openxmlformats.org/officeDocument/2006/relationships/hyperlink" Id="rId9" Target="https://aito.my.canva.site/" TargetMode="External" /><Relationship Type="http://schemas.openxmlformats.org/officeDocument/2006/relationships/hyperlink" Id="rId13" Target="https://creators.spotify.com/pod/profile/roohi-kazi/episodes/State-of-Venture-Capital-Ecosystem-Ft--Juan-AbundesSolo-GP-at-Aito-Capital-e2n204q" TargetMode="External" /><Relationship Type="http://schemas.openxmlformats.org/officeDocument/2006/relationships/hyperlink" Id="rId63" Target="https://infinityventures.vc" TargetMode="External" /><Relationship Type="http://schemas.openxmlformats.org/officeDocument/2006/relationships/hyperlink" Id="rId62" Target="https://keep.mx" TargetMode="External" /><Relationship Type="http://schemas.openxmlformats.org/officeDocument/2006/relationships/hyperlink" Id="rId37" Target="https://lsvp.com" TargetMode="External" /><Relationship Type="http://schemas.openxmlformats.org/officeDocument/2006/relationships/hyperlink" Id="rId105" Target="https://p72.vc" TargetMode="External" /><Relationship Type="http://schemas.openxmlformats.org/officeDocument/2006/relationships/hyperlink" Id="rId18" Target="https://ramp.com" TargetMode="External" /><Relationship Type="http://schemas.openxmlformats.org/officeDocument/2006/relationships/hyperlink" Id="rId64" Target="https://revv.health" TargetMode="External" /><Relationship Type="http://schemas.openxmlformats.org/officeDocument/2006/relationships/hyperlink" Id="rId29" Target="https://somacap.com" TargetMode="External" /><Relationship Type="http://schemas.openxmlformats.org/officeDocument/2006/relationships/hyperlink" Id="rId40" Target="https://tribecap.co" TargetMode="External" /><Relationship Type="http://schemas.openxmlformats.org/officeDocument/2006/relationships/hyperlink" Id="rId19" Target="https://unit.co" TargetMode="External" /><Relationship Type="http://schemas.openxmlformats.org/officeDocument/2006/relationships/hyperlink" Id="rId36" Target="https://www.accel.com" TargetMode="External" /><Relationship Type="http://schemas.openxmlformats.org/officeDocument/2006/relationships/hyperlink" Id="rId30" Target="https://www.btvcapital.com" TargetMode="External" /><Relationship Type="http://schemas.openxmlformats.org/officeDocument/2006/relationships/hyperlink" Id="rId17" Target="https://www.deel.com" TargetMode="External" /><Relationship Type="http://schemas.openxmlformats.org/officeDocument/2006/relationships/hyperlink" Id="rId99" Target="https://www.linkedin.com/in/aaronfrank/" TargetMode="External" /><Relationship Type="http://schemas.openxmlformats.org/officeDocument/2006/relationships/hyperlink" Id="rId108" Target="https://www.linkedin.com/in/alexbouaziz/" TargetMode="External" /><Relationship Type="http://schemas.openxmlformats.org/officeDocument/2006/relationships/hyperlink" Id="rId102" Target="https://www.linkedin.com/in/anna-pinol-5190495a/" TargetMode="External" /><Relationship Type="http://schemas.openxmlformats.org/officeDocument/2006/relationships/hyperlink" Id="rId103" Target="https://www.linkedin.com/in/arjunsethi/" TargetMode="External" /><Relationship Type="http://schemas.openxmlformats.org/officeDocument/2006/relationships/hyperlink" Id="rId100" Target="https://www.linkedin.com/in/daltonc/" TargetMode="External" /><Relationship Type="http://schemas.openxmlformats.org/officeDocument/2006/relationships/hyperlink" Id="rId110" Target="https://www.linkedin.com/in/danielbilbao/" TargetMode="External" /><Relationship Type="http://schemas.openxmlformats.org/officeDocument/2006/relationships/hyperlink" Id="rId116" Target="https://www.linkedin.com/in/danny-sheridan-33835746/" TargetMode="External" /><Relationship Type="http://schemas.openxmlformats.org/officeDocument/2006/relationships/hyperlink" Id="rId97" Target="https://www.linkedin.com/in/gabriel-vazquez-5b24623/" TargetMode="External" /><Relationship Type="http://schemas.openxmlformats.org/officeDocument/2006/relationships/hyperlink" Id="rId101" Target="https://www.linkedin.com/in/jared-friedman-370b32/" TargetMode="External" /><Relationship Type="http://schemas.openxmlformats.org/officeDocument/2006/relationships/hyperlink" Id="rId114" Target="https://www.linkedin.com/in/jp-ortega-26833144/" TargetMode="External" /><Relationship Type="http://schemas.openxmlformats.org/officeDocument/2006/relationships/hyperlink" Id="rId11" Target="https://www.linkedin.com/in/juan-manuel-abundes/" TargetMode="External" /><Relationship Type="http://schemas.openxmlformats.org/officeDocument/2006/relationships/hyperlink" Id="rId112" Target="https://www.linkedin.com/in/karimatiyeh/" TargetMode="External" /><Relationship Type="http://schemas.openxmlformats.org/officeDocument/2006/relationships/hyperlink" Id="rId98" Target="https://www.linkedin.com/in/kevin-efrusy-6741092/" TargetMode="External" /><Relationship Type="http://schemas.openxmlformats.org/officeDocument/2006/relationships/hyperlink" Id="rId118" Target="https://www.linkedin.com/in/marioruiz19/" TargetMode="External" /><Relationship Type="http://schemas.openxmlformats.org/officeDocument/2006/relationships/hyperlink" Id="rId115" Target="https://www.linkedin.com/in/olivertakach/" TargetMode="External" /><Relationship Type="http://schemas.openxmlformats.org/officeDocument/2006/relationships/hyperlink" Id="rId117" Target="https://www.linkedin.com/in/pranjal-daga/" TargetMode="External" /><Relationship Type="http://schemas.openxmlformats.org/officeDocument/2006/relationships/hyperlink" Id="rId109" Target="https://www.linkedin.com/in/sebastian-mejia-39644338/" TargetMode="External" /><Relationship Type="http://schemas.openxmlformats.org/officeDocument/2006/relationships/hyperlink" Id="rId104" Target="https://www.linkedin.com/in/sugamsarin/" TargetMode="External" /><Relationship Type="http://schemas.openxmlformats.org/officeDocument/2006/relationships/hyperlink" Id="rId113" Target="https://www.linkedin.com/in/treyholterman/" TargetMode="External" /><Relationship Type="http://schemas.openxmlformats.org/officeDocument/2006/relationships/hyperlink" Id="rId39" Target="https://www.nfx.com" TargetMode="External" /><Relationship Type="http://schemas.openxmlformats.org/officeDocument/2006/relationships/hyperlink" Id="rId111" Target="https://www.rappi.com" TargetMode="External" /><Relationship Type="http://schemas.openxmlformats.org/officeDocument/2006/relationships/hyperlink" Id="rId32" Target="https://www.tennr.com" TargetMode="External" /><Relationship Type="http://schemas.openxmlformats.org/officeDocument/2006/relationships/hyperlink" Id="rId38" Target="https://www.ycombinator.com" TargetMode="External" /><Relationship Type="http://schemas.openxmlformats.org/officeDocument/2006/relationships/hyperlink" Id="rId15" Target="https://www.youtube.com/watch?v=L06-qbuKVEM" TargetMode="External" /><Relationship Type="http://schemas.openxmlformats.org/officeDocument/2006/relationships/hyperlink" Id="rId31" Target="https://yuno.p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2025-11-17T16:28:34Z</dcterms:created>
  <dcterms:modified xsi:type="dcterms:W3CDTF">2025-11-17T16:28:34Z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