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lp-commitment-memo"/>
    <w:p>
      <w:pPr>
        <w:pStyle w:val="Heading1"/>
      </w:pPr>
      <w:r>
        <w:t xml:space="preserve">LP Commitment Memo</w:t>
      </w:r>
    </w:p>
    <w:bookmarkStart w:id="11" w:name="fund-kearny-jackson-fund-iii"/>
    <w:p>
      <w:pPr>
        <w:pStyle w:val="Heading2"/>
      </w:pPr>
      <w:r>
        <w:t xml:space="preserve">Fund: Kearny Jackson Fund III</w:t>
      </w:r>
    </w:p>
    <w:p>
      <w:pPr>
        <w:pStyle w:val="FirstParagraph"/>
      </w:pPr>
      <w:r>
        <w:rPr>
          <w:b/>
          <w:bCs/>
        </w:rPr>
        <w:t xml:space="preserve">GP/Firm</w:t>
      </w:r>
      <w:r>
        <w:t xml:space="preserve">: Kearny Jackson</w:t>
      </w:r>
      <w:r>
        <w:t xml:space="preserve"> </w:t>
      </w:r>
      <w:r>
        <w:rPr>
          <w:b/>
          <w:bCs/>
        </w:rPr>
        <w:t xml:space="preserve">Fund Size</w:t>
      </w:r>
      <w:r>
        <w:t xml:space="preserve">: $65 million</w:t>
      </w:r>
      <w:r>
        <w:t xml:space="preserve"> </w:t>
      </w:r>
      <w:r>
        <w:rPr>
          <w:rStyle w:val="FootnoteReference"/>
        </w:rPr>
        <w:footnoteReference w:id="9"/>
      </w:r>
      <w:r>
        <w:t xml:space="preserve"> </w:t>
      </w:r>
      <w:r>
        <w:rPr>
          <w:b/>
          <w:bCs/>
        </w:rPr>
        <w:t xml:space="preserve">Vintage</w:t>
      </w:r>
      <w:r>
        <w:t xml:space="preserve">: 2024</w:t>
      </w:r>
      <w:r>
        <w:t xml:space="preserve"> </w:t>
      </w:r>
      <w:r>
        <w:rPr>
          <w:b/>
          <w:bCs/>
        </w:rPr>
        <w:t xml:space="preserve">Strategy</w:t>
      </w:r>
      <w:r>
        <w:t xml:space="preserve">: Early-stage venture (Pre-seed/Seed) focused on SaaS, Infrastructure, and FinTech</w:t>
      </w:r>
      <w:r>
        <w:t xml:space="preserve"> </w:t>
      </w:r>
      <w:r>
        <w:rPr>
          <w:b/>
          <w:bCs/>
        </w:rPr>
        <w:t xml:space="preserve">Date</w:t>
      </w:r>
      <w:r>
        <w:t xml:space="preserve">: November 16, 2025</w:t>
      </w:r>
    </w:p>
    <w:p>
      <w:r>
        <w:pict>
          <v:rect style="width:0;height:1.5pt" o:hralign="center" o:hrstd="t" o:hr="t"/>
        </w:pict>
      </w:r>
    </w:p>
    <w:bookmarkEnd w:id="11"/>
    <w:bookmarkStart w:id="27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committed capital to Kearny Jackson Fund III, a $65M early-stage venture fund</w:t>
      </w:r>
      <w:r>
        <w:t xml:space="preserve"> </w:t>
      </w:r>
      <w:r>
        <w:rPr>
          <w:rStyle w:val="FootnoteReference"/>
        </w:rPr>
        <w:footnoteReference w:id="12"/>
      </w:r>
      <w:r>
        <w:t xml:space="preserve"> </w:t>
      </w:r>
      <w:r>
        <w:t xml:space="preserve">managed by</w:t>
      </w:r>
      <w:r>
        <w:t xml:space="preserve"> </w:t>
      </w:r>
      <w:r>
        <w:rPr>
          <w:b/>
          <w:bCs/>
        </w:rPr>
        <w:t xml:space="preserve">Sriram Krishnan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LinkedIn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Sunil Chhaya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LinkedIn</w:t>
        </w:r>
      </w:hyperlink>
      <w:r>
        <w:t xml:space="preserve">). This investment represents our conviction in an emerging manager with demonstrated pattern recognition in pre-seed/seed investments, evidenced by a portfolio that includes three unicorns (Figma, Sorare, Calm) and one IPO from their first two funds totaling $14M+ deployed.</w:t>
      </w:r>
      <w:r>
        <w:t xml:space="preserve"> </w:t>
      </w:r>
      <w:r>
        <w:rPr>
          <w:rStyle w:val="FootnoteReference"/>
        </w:rPr>
        <w:footnoteReference w:id="15"/>
      </w:r>
    </w:p>
    <w:p>
      <w:pPr>
        <w:pStyle w:val="BodyText"/>
      </w:pPr>
      <w:r>
        <w:t xml:space="preserve">Our decision was driven by three key factors: (1) the GP’s complementary skill sets—Krishnan’s product expertise from Tinder and Spotify combined with Chhaya’s decade-plus institutional venture experience at</w:t>
      </w:r>
      <w:r>
        <w:t xml:space="preserve"> </w:t>
      </w:r>
      <w:r>
        <w:rPr>
          <w:b/>
          <w:bCs/>
        </w:rPr>
        <w:t xml:space="preserve">Menlo Ventures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website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Tenaya Capital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website</w:t>
        </w:r>
      </w:hyperlink>
      <w:r>
        <w:t xml:space="preserve">), (2) strong LP validation with</w:t>
      </w:r>
      <w:r>
        <w:t xml:space="preserve"> </w:t>
      </w:r>
      <w:r>
        <w:rPr>
          <w:b/>
          <w:bCs/>
        </w:rPr>
        <w:t xml:space="preserve">Marc Andreessen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LinkedIn</w:t>
        </w:r>
      </w:hyperlink>
      <w:r>
        <w:t xml:space="preserve">) personally investing (outside of</w:t>
      </w:r>
      <w:r>
        <w:t xml:space="preserve"> </w:t>
      </w:r>
      <w:r>
        <w:rPr>
          <w:b/>
          <w:bCs/>
        </w:rPr>
        <w:t xml:space="preserve">Andreessen Horowitz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website</w:t>
        </w:r>
      </w:hyperlink>
      <w:r>
        <w:t xml:space="preserve">)) alongside</w:t>
      </w:r>
      <w:r>
        <w:t xml:space="preserve"> </w:t>
      </w:r>
      <w:r>
        <w:rPr>
          <w:b/>
          <w:bCs/>
        </w:rPr>
        <w:t xml:space="preserve">Sequoia Capital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website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Bain Capital Ventures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website</w:t>
        </w:r>
      </w:hyperlink>
      <w:r>
        <w:t xml:space="preserve">), and (3) disciplined portfolio construction with 7 seed investments averaging $5.78M round size, suggesting appropriate check sizing and reserve strategy.</w:t>
      </w:r>
      <w:r>
        <w:t xml:space="preserve"> </w:t>
      </w:r>
      <w:r>
        <w:rPr>
          <w:rStyle w:val="FootnoteReference"/>
        </w:rPr>
        <w:footnoteReference w:id="23"/>
      </w:r>
    </w:p>
    <w:p>
      <w:pPr>
        <w:pStyle w:val="BodyText"/>
      </w:pPr>
      <w:r>
        <w:t xml:space="preserve">The fund’s focus on day-zero founders in SaaS, Infrastructure, and FinTech aligns with our thesis on backing specialized early-stage managers who can provide hands-on support during company formation. While the 4.6x fund size increase from Fund II ($14M) to Fund III ($65M) presents execution risk, the GP’s track record and institutional backing support this scale-up.</w:t>
      </w:r>
      <w:r>
        <w:t xml:space="preserve"> </w:t>
      </w:r>
      <w:r>
        <w:rPr>
          <w:rStyle w:val="FootnoteReference"/>
        </w:rPr>
        <w:footnoteReference w:id="25"/>
      </w:r>
    </w:p>
    <w:p>
      <w:r>
        <w:pict>
          <v:rect style="width:0;height:1.5pt" o:hralign="center" o:hrstd="t" o:hr="t"/>
        </w:pict>
      </w:r>
    </w:p>
    <w:bookmarkEnd w:id="27"/>
    <w:bookmarkStart w:id="48" w:name="gp-background-track-record"/>
    <w:p>
      <w:pPr>
        <w:pStyle w:val="Heading2"/>
      </w:pPr>
      <w:r>
        <w:t xml:space="preserve">2. GP Background &amp; Track Record</w:t>
      </w:r>
    </w:p>
    <w:p>
      <w:pPr>
        <w:pStyle w:val="FirstParagraph"/>
      </w:pPr>
      <w:r>
        <w:rPr>
          <w:b/>
          <w:bCs/>
        </w:rPr>
        <w:t xml:space="preserve">General Partners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Sriram Krishnan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LinkedIn</w:t>
        </w:r>
      </w:hyperlink>
      <w:r>
        <w:t xml:space="preserve">) (Co-Founder, General Partner): Product management experience at</w:t>
      </w:r>
      <w:r>
        <w:t xml:space="preserve"> </w:t>
      </w:r>
      <w:r>
        <w:rPr>
          <w:b/>
          <w:bCs/>
        </w:rPr>
        <w:t xml:space="preserve">Tinder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website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Spotify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website</w:t>
        </w:r>
      </w:hyperlink>
      <w:r>
        <w:t xml:space="preserve">), bringing operational expertise in scaling consumer technology products.</w:t>
      </w:r>
      <w:r>
        <w:t xml:space="preserve"> </w:t>
      </w:r>
      <w:r>
        <w:rPr>
          <w:rStyle w:val="FootnoteReference"/>
        </w:rPr>
        <w:footnoteReference w:id="30"/>
      </w:r>
      <w:r>
        <w:t xml:space="preserve"> </w:t>
      </w:r>
      <w:r>
        <w:t xml:space="preserve">Krishnan’s network in the product and engineering communities provides differentiated deal flow and founder support capabilities.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Sunil Chhaya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LinkedIn</w:t>
        </w:r>
      </w:hyperlink>
      <w:r>
        <w:t xml:space="preserve">) (Co-Founder, General Partner): Over a decade of venture capital experience at</w:t>
      </w:r>
      <w:r>
        <w:t xml:space="preserve"> </w:t>
      </w:r>
      <w:r>
        <w:rPr>
          <w:b/>
          <w:bCs/>
        </w:rPr>
        <w:t xml:space="preserve">Menlo Ventures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website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Tenaya Capital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website</w:t>
        </w:r>
      </w:hyperlink>
      <w:r>
        <w:t xml:space="preserve">) prior to co-founding Kearny Jackson.</w:t>
      </w:r>
      <w:r>
        <w:t xml:space="preserve"> </w:t>
      </w:r>
      <w:r>
        <w:rPr>
          <w:rStyle w:val="FootnoteReference"/>
        </w:rPr>
        <w:footnoteReference w:id="31"/>
      </w:r>
      <w:r>
        <w:t xml:space="preserve"> </w:t>
      </w:r>
      <w:r>
        <w:t xml:space="preserve">Chhaya’s institutional training and global upbringing contribute to disciplined investment processes and international perspective.</w:t>
      </w:r>
    </w:p>
    <w:p>
      <w:pPr>
        <w:pStyle w:val="BodyText"/>
      </w:pPr>
      <w:r>
        <w:rPr>
          <w:b/>
          <w:bCs/>
        </w:rPr>
        <w:t xml:space="preserve">Firm history</w:t>
      </w:r>
      <w:r>
        <w:t xml:space="preserve">: Founded in 2018 in San Francisco, named after the intersection (Kearny and Jackson Streets) where the two founders frequently met while developing their partnership.</w:t>
      </w:r>
      <w:r>
        <w:t xml:space="preserve"> </w:t>
      </w:r>
      <w:r>
        <w:rPr>
          <w:rStyle w:val="FootnoteReference"/>
        </w:rPr>
        <w:footnoteReference w:id="32"/>
      </w:r>
      <w:r>
        <w:t xml:space="preserve"> </w:t>
      </w:r>
      <w:r>
        <w:t xml:space="preserve">The firm was established to provide hands-on support to technical founders from</w:t>
      </w:r>
      <w:r>
        <w:t xml:space="preserve"> </w:t>
      </w:r>
      <w:r>
        <w:t xml:space="preserve">“day zero,”</w:t>
      </w:r>
      <w:r>
        <w:t xml:space="preserve"> </w:t>
      </w:r>
      <w:r>
        <w:t xml:space="preserve">focusing on teams often pre-revenue and pre-product.</w:t>
      </w:r>
      <w:r>
        <w:t xml:space="preserve"> </w:t>
      </w:r>
      <w:r>
        <w:rPr>
          <w:rStyle w:val="FootnoteReference"/>
        </w:rPr>
        <w:footnoteReference w:id="33"/>
      </w:r>
    </w:p>
    <w:p>
      <w:pPr>
        <w:pStyle w:val="BodyText"/>
      </w:pPr>
      <w:r>
        <w:rPr>
          <w:b/>
          <w:bCs/>
        </w:rPr>
        <w:t xml:space="preserve">Investment team</w:t>
      </w:r>
      <w:r>
        <w:t xml:space="preserve">: Core team of 2 general partners with 9 associated members, suggesting lean operations appropriate for a $65M fund. The firm maintains close relationships with portfolio company founders and operates with high partner involvement.</w:t>
      </w:r>
    </w:p>
    <w:p>
      <w:pPr>
        <w:pStyle w:val="BodyText"/>
      </w:pPr>
      <w:r>
        <w:rPr>
          <w:b/>
          <w:bCs/>
        </w:rPr>
        <w:t xml:space="preserve">Track record highlights</w:t>
      </w:r>
      <w:r>
        <w:t xml:space="preserve">:</w:t>
      </w:r>
      <w:r>
        <w:t xml:space="preserve"> </w:t>
      </w:r>
      <w:r>
        <w:t xml:space="preserve">- Portfolio includes 3 unicorns:</w:t>
      </w:r>
      <w:r>
        <w:t xml:space="preserve"> </w:t>
      </w:r>
      <w:r>
        <w:rPr>
          <w:b/>
          <w:bCs/>
        </w:rPr>
        <w:t xml:space="preserve">Figma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website</w:t>
        </w:r>
      </w:hyperlink>
      <w:r>
        <w:t xml:space="preserve">) (design collaboration, acquired by</w:t>
      </w:r>
      <w:r>
        <w:t xml:space="preserve"> </w:t>
      </w:r>
      <w:r>
        <w:rPr>
          <w:b/>
          <w:bCs/>
        </w:rPr>
        <w:t xml:space="preserve">Adobe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website</w:t>
        </w:r>
      </w:hyperlink>
      <w:r>
        <w:t xml:space="preserve">) for $20B announced 2022),</w:t>
      </w:r>
      <w:r>
        <w:t xml:space="preserve"> </w:t>
      </w:r>
      <w:r>
        <w:rPr>
          <w:b/>
          <w:bCs/>
        </w:rPr>
        <w:t xml:space="preserve">Sorare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website</w:t>
        </w:r>
      </w:hyperlink>
      <w:r>
        <w:t xml:space="preserve">) (fantasy sports NFT platform), and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website</w:t>
        </w:r>
      </w:hyperlink>
      <w:r>
        <w:t xml:space="preserve">) (mental wellness app) [^6]</w:t>
      </w:r>
      <w:r>
        <w:t xml:space="preserve"> </w:t>
      </w:r>
      <w:r>
        <w:t xml:space="preserve">- 1 IPO from prior funds</w:t>
      </w:r>
      <w:r>
        <w:t xml:space="preserve"> </w:t>
      </w:r>
      <w:r>
        <w:rPr>
          <w:rStyle w:val="FootnoteReference"/>
        </w:rPr>
        <w:footnoteReference w:id="38"/>
      </w:r>
      <w:r>
        <w:t xml:space="preserve"> </w:t>
      </w:r>
      <w:r>
        <w:t xml:space="preserve">- 7 seed-stage investments with average round size of $5.78M, indicating consistent check sizing discipline</w:t>
      </w:r>
      <w:r>
        <w:t xml:space="preserve"> </w:t>
      </w:r>
      <w:r>
        <w:rPr>
          <w:rStyle w:val="FootnoteReference"/>
        </w:rPr>
        <w:footnoteReference w:id="39"/>
      </w:r>
      <w:r>
        <w:t xml:space="preserve"> </w:t>
      </w:r>
      <w:r>
        <w:t xml:space="preserve">- 1 Series C investment ($60M average round), demonstrating ability to support winners through growth stages</w:t>
      </w:r>
      <w:r>
        <w:t xml:space="preserve"> </w:t>
      </w:r>
      <w:r>
        <w:rPr>
          <w:rStyle w:val="FootnoteReference"/>
        </w:rPr>
        <w:footnoteReference w:id="40"/>
      </w:r>
      <w:r>
        <w:t xml:space="preserve"> </w:t>
      </w:r>
      <w:r>
        <w:t xml:space="preserve">- Recent portfolio companies include:</w:t>
      </w:r>
      <w:r>
        <w:t xml:space="preserve"> </w:t>
      </w:r>
      <w:r>
        <w:rPr>
          <w:b/>
          <w:bCs/>
        </w:rPr>
        <w:t xml:space="preserve">Motherduck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Cortex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Unit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EigenLayer</w:t>
      </w:r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website</w:t>
        </w:r>
      </w:hyperlink>
      <w:r>
        <w:t xml:space="preserve">), Comulate, Rythms, RelayFi,</w:t>
      </w:r>
      <w:r>
        <w:t xml:space="preserve"> </w:t>
      </w:r>
      <w:r>
        <w:rPr>
          <w:b/>
          <w:bCs/>
        </w:rPr>
        <w:t xml:space="preserve">Sprig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website</w:t>
        </w:r>
      </w:hyperlink>
      <w:r>
        <w:t xml:space="preserve">), and more</w:t>
      </w:r>
      <w:r>
        <w:t xml:space="preserve"> </w:t>
      </w:r>
      <w:r>
        <w:rPr>
          <w:rStyle w:val="FootnoteReference"/>
        </w:rPr>
        <w:footnoteReference w:id="46"/>
      </w:r>
      <w:r>
        <w:t xml:space="preserve"> </w:t>
      </w:r>
      <w:r>
        <w:t xml:space="preserve">- Active deployment in 2024: 2 investments in San Francisco, 2 in New York City, 1 in Vancouver across Data/Dev tools and software/ML sectors</w:t>
      </w:r>
      <w:r>
        <w:t xml:space="preserve"> </w:t>
      </w:r>
      <w:r>
        <w:rPr>
          <w:rStyle w:val="FootnoteReference"/>
        </w:rPr>
        <w:footnoteReference w:id="47"/>
      </w:r>
    </w:p>
    <w:p>
      <w:r>
        <w:pict>
          <v:rect style="width:0;height:1.5pt" o:hralign="center" o:hrstd="t" o:hr="t"/>
        </w:pict>
      </w:r>
    </w:p>
    <w:bookmarkEnd w:id="48"/>
    <w:bookmarkStart w:id="55" w:name="fund-strategy-thesis"/>
    <w:p>
      <w:pPr>
        <w:pStyle w:val="Heading2"/>
      </w:pPr>
      <w:r>
        <w:t xml:space="preserve">3. Fund Strategy &amp; Thesis</w:t>
      </w:r>
    </w:p>
    <w:p>
      <w:pPr>
        <w:pStyle w:val="FirstParagraph"/>
      </w:pPr>
      <w:r>
        <w:rPr>
          <w:b/>
          <w:bCs/>
        </w:rPr>
        <w:t xml:space="preserve">Investment focus</w:t>
      </w:r>
      <w:r>
        <w:t xml:space="preserve">: Early-stage technology companies in three core sectors: (1) SaaS, (2) Infrastructure (including Data/Dev tools), and (3) FinTech.</w:t>
      </w:r>
      <w:r>
        <w:t xml:space="preserve"> </w:t>
      </w:r>
      <w:r>
        <w:rPr>
          <w:rStyle w:val="FootnoteReference"/>
        </w:rPr>
        <w:footnoteReference w:id="49"/>
      </w:r>
      <w:r>
        <w:t xml:space="preserve"> </w:t>
      </w:r>
      <w:r>
        <w:t xml:space="preserve">Recent activity shows expansion into software/machine learning applications. Geographic focus on United States technology hubs: San Francisco, New York City, and Seattle, with selective investments in Vancouver.</w:t>
      </w:r>
    </w:p>
    <w:p>
      <w:pPr>
        <w:pStyle w:val="BodyText"/>
      </w:pPr>
      <w:r>
        <w:rPr>
          <w:b/>
          <w:bCs/>
        </w:rPr>
        <w:t xml:space="preserve">Check sizes</w:t>
      </w:r>
      <w:r>
        <w:t xml:space="preserve">: Initial checks estimated at $500K-$1.5M for pre-seed, $1M-$3M for seed stage based on $5.78M average seed round size and typical VC ownership targets.</w:t>
      </w:r>
      <w:r>
        <w:t xml:space="preserve"> </w:t>
      </w:r>
      <w:r>
        <w:rPr>
          <w:rStyle w:val="FootnoteReference"/>
        </w:rPr>
        <w:footnoteReference w:id="50"/>
      </w:r>
      <w:r>
        <w:t xml:space="preserve"> </w:t>
      </w:r>
      <w:r>
        <w:t xml:space="preserve">The firm’s willingness to invest in pre-revenue and pre-product teams suggests initial checks at the lower end of this range with substantial follow-on capacity.</w:t>
      </w:r>
      <w:r>
        <w:t xml:space="preserve"> </w:t>
      </w:r>
      <w:r>
        <w:rPr>
          <w:rStyle w:val="FootnoteReference"/>
        </w:rPr>
        <w:footnoteReference w:id="51"/>
      </w:r>
    </w:p>
    <w:p>
      <w:pPr>
        <w:pStyle w:val="BodyText"/>
      </w:pPr>
      <w:r>
        <w:rPr>
          <w:b/>
          <w:bCs/>
        </w:rPr>
        <w:t xml:space="preserve">Investment criteria</w:t>
      </w:r>
      <w:r>
        <w:t xml:space="preserve">: Focus on</w:t>
      </w:r>
      <w:r>
        <w:t xml:space="preserve"> </w:t>
      </w:r>
      <w:r>
        <w:t xml:space="preserve">“day zero”</w:t>
      </w:r>
      <w:r>
        <w:t xml:space="preserve"> </w:t>
      </w:r>
      <w:r>
        <w:t xml:space="preserve">founders building technical products in the firm’s core sectors. The GPs prioritize teams with strong technical capabilities and product vision, leveraging Krishnan’s product expertise to evaluate founder-market fit. The firm’s 2024 activity in Data/Dev tools suggests thesis evolution toward infrastructure software and developer-facing products.</w:t>
      </w:r>
    </w:p>
    <w:p>
      <w:pPr>
        <w:pStyle w:val="BodyText"/>
      </w:pPr>
      <w:r>
        <w:rPr>
          <w:b/>
          <w:bCs/>
        </w:rPr>
        <w:t xml:space="preserve">Competitive positioning</w:t>
      </w:r>
      <w:r>
        <w:t xml:space="preserve">: Kearny Jackson differentiates through: (1) willingness to invest at formation stage (pre-product, pre-revenue), (2) hands-on operational support from GPs with complementary product and venture backgrounds, (3) concentrated portfolio approach enabling high-touch engagement, and (4) established relationships with downstream investors (</w:t>
      </w:r>
      <w:r>
        <w:rPr>
          <w:b/>
          <w:bCs/>
        </w:rPr>
        <w:t xml:space="preserve">Sequoia Capital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Bain Capital Ventures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website</w:t>
        </w:r>
      </w:hyperlink>
      <w:r>
        <w:t xml:space="preserve">) as LPs) facilitating follow-on rounds.</w:t>
      </w:r>
      <w:r>
        <w:t xml:space="preserve"> </w:t>
      </w:r>
      <w:r>
        <w:rPr>
          <w:rStyle w:val="FootnoteReference"/>
        </w:rPr>
        <w:footnoteReference w:id="52"/>
      </w:r>
    </w:p>
    <w:p>
      <w:pPr>
        <w:pStyle w:val="BodyText"/>
      </w:pPr>
      <w:r>
        <w:rPr>
          <w:b/>
          <w:bCs/>
        </w:rPr>
        <w:t xml:space="preserve">Thesis evolution</w:t>
      </w:r>
      <w:r>
        <w:t xml:space="preserve">: Fund I (2018) established broad early-stage positioning. Fund II ($14M, 2023) demonstrated success in SaaS and consumer applications (Figma, Calm, Sorare). Fund III ($65M, 2024) shows strategic expansion into infrastructure and developer tools while maintaining core SaaS/FinTech focus, reflecting market opportunity in AI-native tooling and data infrastructure.</w:t>
      </w:r>
      <w:r>
        <w:t xml:space="preserve"> </w:t>
      </w:r>
      <w:r>
        <w:rPr>
          <w:rStyle w:val="FootnoteReference"/>
        </w:rPr>
        <w:footnoteReference w:id="53"/>
      </w:r>
      <w:r>
        <w:rPr>
          <w:rStyle w:val="FootnoteReference"/>
        </w:rPr>
        <w:footnoteReference w:id="54"/>
      </w:r>
    </w:p>
    <w:p>
      <w:r>
        <w:pict>
          <v:rect style="width:0;height:1.5pt" o:hralign="center" o:hrstd="t" o:hr="t"/>
        </w:pict>
      </w:r>
    </w:p>
    <w:bookmarkEnd w:id="55"/>
    <w:bookmarkStart w:id="60" w:name="portfolio-construction"/>
    <w:p>
      <w:pPr>
        <w:pStyle w:val="Heading2"/>
      </w:pPr>
      <w:r>
        <w:t xml:space="preserve">4. Portfolio Construction</w:t>
      </w:r>
    </w:p>
    <w:p>
      <w:pPr>
        <w:pStyle w:val="FirstParagraph"/>
      </w:pPr>
      <w:r>
        <w:rPr>
          <w:b/>
          <w:bCs/>
        </w:rPr>
        <w:t xml:space="preserve">Target portfolio size</w:t>
      </w:r>
      <w:r>
        <w:t xml:space="preserve">: Estimated 25-35 companies based on $65M fund size and historical check sizing.</w:t>
      </w:r>
      <w:r>
        <w:t xml:space="preserve"> </w:t>
      </w:r>
      <w:r>
        <w:rPr>
          <w:rStyle w:val="FootnoteReference"/>
        </w:rPr>
        <w:footnoteReference w:id="56"/>
      </w:r>
      <w:r>
        <w:t xml:space="preserve"> </w:t>
      </w:r>
      <w:r>
        <w:t xml:space="preserve">With $5.78M average seed round participation and assumed 10-15% initial ownership targets, initial deployment would support 30-40 companies with reserves.</w:t>
      </w:r>
    </w:p>
    <w:p>
      <w:pPr>
        <w:pStyle w:val="BodyText"/>
      </w:pPr>
      <w:r>
        <w:rPr>
          <w:b/>
          <w:bCs/>
        </w:rPr>
        <w:t xml:space="preserve">Ownership targets</w:t>
      </w:r>
      <w:r>
        <w:t xml:space="preserve">: Estimated 8-12% initial ownership at seed stage based on industry norms for $1M-$2M initial checks into $8M-$15M seed rounds.</w:t>
      </w:r>
      <w:r>
        <w:t xml:space="preserve"> </w:t>
      </w:r>
      <w:r>
        <w:rPr>
          <w:rStyle w:val="FootnoteReference"/>
        </w:rPr>
        <w:footnoteReference w:id="57"/>
      </w:r>
      <w:r>
        <w:t xml:space="preserve"> </w:t>
      </w:r>
      <w:r>
        <w:t xml:space="preserve">The firm’s track record of one Series C follow-on ($60M round) indicates willingness to maintain ownership through growth stages in top performers.</w:t>
      </w:r>
    </w:p>
    <w:p>
      <w:pPr>
        <w:pStyle w:val="BodyText"/>
      </w:pPr>
      <w:r>
        <w:rPr>
          <w:b/>
          <w:bCs/>
        </w:rPr>
        <w:t xml:space="preserve">Reserve strategy</w:t>
      </w:r>
      <w:r>
        <w:t xml:space="preserve">: Estimated 50-60% of fund reserved for follow-ons based on standard early-stage practice and the fund’s demonstrated ability to support companies through Series C.</w:t>
      </w:r>
      <w:r>
        <w:t xml:space="preserve"> </w:t>
      </w:r>
      <w:r>
        <w:rPr>
          <w:rStyle w:val="FootnoteReference"/>
        </w:rPr>
        <w:footnoteReference w:id="58"/>
      </w:r>
      <w:r>
        <w:t xml:space="preserve"> </w:t>
      </w:r>
      <w:r>
        <w:t xml:space="preserve">With 7 seed investments from prior funds and 1 Series C participation, the firm shows disciplined reserve deployment in top quartile performers.</w:t>
      </w:r>
    </w:p>
    <w:p>
      <w:pPr>
        <w:pStyle w:val="BodyText"/>
      </w:pPr>
      <w:r>
        <w:rPr>
          <w:b/>
          <w:bCs/>
        </w:rPr>
        <w:t xml:space="preserve">Pace of deployment</w:t>
      </w:r>
      <w:r>
        <w:t xml:space="preserve">: Fund III raised in 2024 with active deployment evidenced by 5 new investments across SF, NYC, and Vancouver in recent months.</w:t>
      </w:r>
      <w:r>
        <w:t xml:space="preserve"> </w:t>
      </w:r>
      <w:r>
        <w:rPr>
          <w:rStyle w:val="FootnoteReference"/>
        </w:rPr>
        <w:footnoteReference w:id="59"/>
      </w:r>
      <w:r>
        <w:t xml:space="preserve"> </w:t>
      </w:r>
      <w:r>
        <w:t xml:space="preserve">Expected 3-4 year deployment period typical for early-stage funds, suggesting 8-12 new investments annually.</w:t>
      </w:r>
    </w:p>
    <w:p>
      <w:pPr>
        <w:pStyle w:val="BodyText"/>
      </w:pPr>
      <w:r>
        <w:rPr>
          <w:b/>
          <w:bCs/>
        </w:rPr>
        <w:t xml:space="preserve">Geographic/sector diversification</w:t>
      </w:r>
      <w:r>
        <w:t xml:space="preserve">: Primary focus on San Francisco Bay Area with strategic presence in New York City (financial technology, enterprise SaaS) and Seattle (infrastructure, developer tools). 2024 activity shows 40% SF, 40% NYC, 20% other (Vancouver), indicating deliberate geographic diversification while maintaining focus on major tech hubs. Sector allocation across SaaS (40%), Infrastructure/Dev tools (40%), FinTech (20%) based on recent investment activity and stated focus areas.</w:t>
      </w:r>
    </w:p>
    <w:p>
      <w:r>
        <w:pict>
          <v:rect style="width:0;height:1.5pt" o:hralign="center" o:hrstd="t" o:hr="t"/>
        </w:pict>
      </w:r>
    </w:p>
    <w:bookmarkEnd w:id="60"/>
    <w:bookmarkStart w:id="74" w:name="value-add-differentiation"/>
    <w:p>
      <w:pPr>
        <w:pStyle w:val="Heading2"/>
      </w:pPr>
      <w:r>
        <w:t xml:space="preserve">5. Value Add &amp; Differentiation</w:t>
      </w:r>
    </w:p>
    <w:p>
      <w:pPr>
        <w:pStyle w:val="FirstParagraph"/>
      </w:pPr>
      <w:r>
        <w:rPr>
          <w:b/>
          <w:bCs/>
        </w:rPr>
        <w:t xml:space="preserve">Unique edge</w:t>
      </w:r>
      <w:r>
        <w:t xml:space="preserve">: Krishnan’s product management background at</w:t>
      </w:r>
      <w:r>
        <w:t xml:space="preserve"> </w:t>
      </w:r>
      <w:r>
        <w:rPr>
          <w:b/>
          <w:bCs/>
        </w:rPr>
        <w:t xml:space="preserve">Tinder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website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Spotify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website</w:t>
        </w:r>
      </w:hyperlink>
      <w:r>
        <w:t xml:space="preserve">) provides differentiated value in evaluating consumer and product-led growth strategies.</w:t>
      </w:r>
      <w:r>
        <w:t xml:space="preserve"> </w:t>
      </w:r>
      <w:r>
        <w:rPr>
          <w:rStyle w:val="FootnoteReference"/>
        </w:rPr>
        <w:footnoteReference w:id="61"/>
      </w:r>
      <w:r>
        <w:t xml:space="preserve"> </w:t>
      </w:r>
      <w:r>
        <w:t xml:space="preserve">His network in the product and engineering communities at major tech companies (Meta, Google, Spotify ecosystem) offers portfolio companies access to talent and product expertise during critical early development phases.</w:t>
      </w:r>
    </w:p>
    <w:p>
      <w:pPr>
        <w:pStyle w:val="BodyText"/>
      </w:pPr>
      <w:r>
        <w:rPr>
          <w:b/>
          <w:bCs/>
        </w:rPr>
        <w:t xml:space="preserve">Network &amp; platform</w:t>
      </w:r>
      <w:r>
        <w:t xml:space="preserve">: Strong institutional LP base creates downstream funding advantages.</w:t>
      </w:r>
      <w:r>
        <w:t xml:space="preserve"> </w:t>
      </w:r>
      <w:r>
        <w:rPr>
          <w:b/>
          <w:bCs/>
        </w:rPr>
        <w:t xml:space="preserve">Marc Andreessen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LinkedIn</w:t>
        </w:r>
      </w:hyperlink>
      <w:r>
        <w:t xml:space="preserve">)’s personal investment (outside of</w:t>
      </w:r>
      <w:r>
        <w:t xml:space="preserve"> </w:t>
      </w:r>
      <w:r>
        <w:rPr>
          <w:b/>
          <w:bCs/>
        </w:rPr>
        <w:t xml:space="preserve">Andreessen Horowitz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website</w:t>
        </w:r>
      </w:hyperlink>
      <w:r>
        <w:t xml:space="preserve">)) signals high conviction and provides portfolio companies indirect access to</w:t>
      </w:r>
      <w:r>
        <w:t xml:space="preserve"> </w:t>
      </w:r>
      <w:r>
        <w:rPr>
          <w:b/>
          <w:bCs/>
        </w:rPr>
        <w:t xml:space="preserve">Andreessen Horowitz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website</w:t>
        </w:r>
      </w:hyperlink>
      <w:r>
        <w:t xml:space="preserve">) network.</w:t>
      </w:r>
      <w:r>
        <w:t xml:space="preserve"> </w:t>
      </w:r>
      <w:r>
        <w:rPr>
          <w:rStyle w:val="FootnoteReference"/>
        </w:rPr>
        <w:footnoteReference w:id="62"/>
      </w:r>
      <w:r>
        <w:t xml:space="preserve"> </w:t>
      </w:r>
      <w:r>
        <w:t xml:space="preserve">LP roster includes</w:t>
      </w:r>
      <w:r>
        <w:t xml:space="preserve"> </w:t>
      </w:r>
      <w:r>
        <w:rPr>
          <w:b/>
          <w:bCs/>
        </w:rPr>
        <w:t xml:space="preserve">Sequoia Capital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Bain Capital Ventures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website</w:t>
        </w:r>
      </w:hyperlink>
      <w:r>
        <w:t xml:space="preserve">), and</w:t>
      </w:r>
      <w:r>
        <w:t xml:space="preserve"> </w:t>
      </w:r>
      <w:r>
        <w:rPr>
          <w:b/>
          <w:bCs/>
        </w:rPr>
        <w:t xml:space="preserve">Menlo Ventures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website</w:t>
        </w:r>
      </w:hyperlink>
      <w:r>
        <w:t xml:space="preserve">)—all active Series A/B investors who can facilitate follow-on rounds.</w:t>
      </w:r>
      <w:r>
        <w:t xml:space="preserve"> </w:t>
      </w:r>
      <w:r>
        <w:rPr>
          <w:rStyle w:val="FootnoteReference"/>
        </w:rPr>
        <w:footnoteReference w:id="63"/>
      </w:r>
      <w:r>
        <w:t xml:space="preserve"> </w:t>
      </w:r>
      <w:r>
        <w:t xml:space="preserve">Additional strategic LPs include</w:t>
      </w:r>
      <w:r>
        <w:t xml:space="preserve"> </w:t>
      </w:r>
      <w:r>
        <w:rPr>
          <w:b/>
          <w:bCs/>
        </w:rPr>
        <w:t xml:space="preserve">Eric Johnson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LinkedIn</w:t>
        </w:r>
      </w:hyperlink>
      <w:r>
        <w:t xml:space="preserve">) (former</w:t>
      </w:r>
      <w:r>
        <w:t xml:space="preserve"> </w:t>
      </w:r>
      <w:r>
        <w:rPr>
          <w:b/>
          <w:bCs/>
        </w:rPr>
        <w:t xml:space="preserve">GitLab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website</w:t>
        </w:r>
      </w:hyperlink>
      <w:r>
        <w:t xml:space="preserve">) CTO),</w:t>
      </w:r>
      <w:r>
        <w:t xml:space="preserve"> </w:t>
      </w:r>
      <w:r>
        <w:rPr>
          <w:b/>
          <w:bCs/>
        </w:rPr>
        <w:t xml:space="preserve">Andreas Ehn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LinkedIn</w:t>
        </w:r>
      </w:hyperlink>
      <w:r>
        <w:t xml:space="preserve">) (former</w:t>
      </w:r>
      <w:r>
        <w:t xml:space="preserve"> </w:t>
      </w:r>
      <w:r>
        <w:rPr>
          <w:b/>
          <w:bCs/>
        </w:rPr>
        <w:t xml:space="preserve">Spotify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website</w:t>
        </w:r>
      </w:hyperlink>
      <w:r>
        <w:t xml:space="preserve">) CTO),</w:t>
      </w:r>
      <w:r>
        <w:t xml:space="preserve"> </w:t>
      </w:r>
      <w:r>
        <w:rPr>
          <w:b/>
          <w:bCs/>
        </w:rPr>
        <w:t xml:space="preserve">Itai Damti</w:t>
      </w:r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Unit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website</w:t>
        </w:r>
      </w:hyperlink>
      <w:r>
        <w:t xml:space="preserve">) co-founder), and</w:t>
      </w:r>
      <w:r>
        <w:t xml:space="preserve"> </w:t>
      </w:r>
      <w:r>
        <w:rPr>
          <w:b/>
          <w:bCs/>
        </w:rPr>
        <w:t xml:space="preserve">Jeff Horing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LinkedIn</w:t>
        </w:r>
      </w:hyperlink>
      <w:r>
        <w:t xml:space="preserve">) (</w:t>
      </w:r>
      <w:r>
        <w:rPr>
          <w:b/>
          <w:bCs/>
        </w:rPr>
        <w:t xml:space="preserve">Insight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website</w:t>
        </w:r>
      </w:hyperlink>
      <w:r>
        <w:t xml:space="preserve">) founder), providing technical and operational expertise.</w:t>
      </w:r>
      <w:r>
        <w:t xml:space="preserve"> </w:t>
      </w:r>
      <w:r>
        <w:rPr>
          <w:rStyle w:val="FootnoteReference"/>
        </w:rPr>
        <w:footnoteReference w:id="70"/>
      </w:r>
    </w:p>
    <w:p>
      <w:pPr>
        <w:pStyle w:val="BodyText"/>
      </w:pPr>
      <w:r>
        <w:rPr>
          <w:b/>
          <w:bCs/>
        </w:rPr>
        <w:t xml:space="preserve">Operational support</w:t>
      </w:r>
      <w:r>
        <w:t xml:space="preserve">:</w:t>
      </w:r>
      <w:r>
        <w:t xml:space="preserve"> </w:t>
      </w:r>
      <w:r>
        <w:t xml:space="preserve">“Day zero”</w:t>
      </w:r>
      <w:r>
        <w:t xml:space="preserve"> </w:t>
      </w:r>
      <w:r>
        <w:t xml:space="preserve">positioning enables the firm to provide hands-on support during company formation: product roadmap development (Krishnan’s expertise), fundraising strategy (Chhaya’s institutional relationships), early customer introductions, and team building.</w:t>
      </w:r>
      <w:r>
        <w:t xml:space="preserve"> </w:t>
      </w:r>
      <w:r>
        <w:rPr>
          <w:rStyle w:val="FootnoteReference"/>
        </w:rPr>
        <w:footnoteReference w:id="71"/>
      </w:r>
      <w:r>
        <w:t xml:space="preserve"> </w:t>
      </w:r>
      <w:r>
        <w:t xml:space="preserve">The lean GP structure (2 partners) ensures direct partner involvement rather than delegated associate coverage.</w:t>
      </w:r>
    </w:p>
    <w:p>
      <w:pPr>
        <w:pStyle w:val="BodyText"/>
      </w:pPr>
      <w:r>
        <w:rPr>
          <w:b/>
          <w:bCs/>
        </w:rPr>
        <w:t xml:space="preserve">Brand &amp; reputation</w:t>
      </w:r>
      <w:r>
        <w:t xml:space="preserve">: Three unicorns and one IPO from first two funds ($14M+ deployed) establish strong founder references.</w:t>
      </w:r>
      <w:r>
        <w:t xml:space="preserve"> </w:t>
      </w:r>
      <w:r>
        <w:rPr>
          <w:b/>
          <w:bCs/>
        </w:rPr>
        <w:t xml:space="preserve">Figma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website</w:t>
        </w:r>
      </w:hyperlink>
      <w:r>
        <w:t xml:space="preserve">) outcome (acquired by</w:t>
      </w:r>
      <w:r>
        <w:t xml:space="preserve"> </w:t>
      </w:r>
      <w:r>
        <w:rPr>
          <w:b/>
          <w:bCs/>
        </w:rPr>
        <w:t xml:space="preserve">Adobe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website</w:t>
        </w:r>
      </w:hyperlink>
      <w:r>
        <w:t xml:space="preserve">) for $20B) represents one of the highest-value design tool acquisitions, demonstrating ability to identify category-defining companies. [^6]</w:t>
      </w:r>
      <w:r>
        <w:t xml:space="preserve"> </w:t>
      </w:r>
      <w:r>
        <w:rPr>
          <w:b/>
          <w:bCs/>
        </w:rPr>
        <w:t xml:space="preserve">Marc Andreessen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LinkedIn</w:t>
        </w:r>
      </w:hyperlink>
      <w:r>
        <w:t xml:space="preserve">)</w:t>
      </w:r>
      <w:r>
        <w:t xml:space="preserve">‘s decision to invest personally (not through</w:t>
      </w:r>
      <w:r>
        <w:t xml:space="preserve"> </w:t>
      </w:r>
      <w:r>
        <w:rPr>
          <w:b/>
          <w:bCs/>
        </w:rPr>
        <w:t xml:space="preserve">Andreessen Horowitz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website</w:t>
        </w:r>
      </w:hyperlink>
      <w:r>
        <w:t xml:space="preserve">)) validates the GPs’</w:t>
      </w:r>
      <w:r>
        <w:t xml:space="preserve"> </w:t>
      </w:r>
      <w:r>
        <w:t xml:space="preserve">investment acumen and provides third-party credibility.</w:t>
      </w:r>
      <w:r>
        <w:t xml:space="preserve"> </w:t>
      </w:r>
      <w:r>
        <w:rPr>
          <w:rStyle w:val="FootnoteReference"/>
        </w:rPr>
        <w:footnoteReference w:id="72"/>
      </w:r>
      <w:r>
        <w:t xml:space="preserve"> </w:t>
      </w:r>
      <w:r>
        <w:t xml:space="preserve">The firm’s willingness to invest pre-product and pre-revenue signals founder-friendly approach, differentiating from larger firms requiring traction metrics.</w:t>
      </w:r>
      <w:r>
        <w:t xml:space="preserve"> </w:t>
      </w:r>
      <w:r>
        <w:rPr>
          <w:rStyle w:val="FootnoteReference"/>
        </w:rPr>
        <w:footnoteReference w:id="73"/>
      </w:r>
    </w:p>
    <w:p>
      <w:r>
        <w:pict>
          <v:rect style="width:0;height:1.5pt" o:hralign="center" o:hrstd="t" o:hr="t"/>
        </w:pict>
      </w:r>
    </w:p>
    <w:bookmarkEnd w:id="74"/>
    <w:bookmarkStart w:id="81" w:name="track-record-analysis"/>
    <w:p>
      <w:pPr>
        <w:pStyle w:val="Heading2"/>
      </w:pPr>
      <w:r>
        <w:t xml:space="preserve">6. Track Record Analysis</w:t>
      </w:r>
    </w:p>
    <w:p>
      <w:pPr>
        <w:pStyle w:val="FirstParagraph"/>
      </w:pPr>
      <w:r>
        <w:rPr>
          <w:b/>
          <w:bCs/>
        </w:rPr>
        <w:t xml:space="preserve">Prior fund performance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Fund I</w:t>
      </w:r>
      <w:r>
        <w:t xml:space="preserve"> </w:t>
      </w:r>
      <w:r>
        <w:t xml:space="preserve">(2018): Size undisclosed, vintage 2018, status: mature. Generated 3 unicorns (Figma, Sorare, Calm) and 1 IPO.</w:t>
      </w:r>
      <w:r>
        <w:t xml:space="preserve"> </w:t>
      </w:r>
      <w:r>
        <w:rPr>
          <w:rStyle w:val="FootnoteReference"/>
        </w:rPr>
        <w:footnoteReference w:id="75"/>
      </w:r>
      <w:r>
        <w:t xml:space="preserve"> </w:t>
      </w:r>
      <w:r>
        <w:t xml:space="preserve">DPI, TVPI, and IRR not publicly disclosed but implied strong performance based on unicorn outcomes from small fund size.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Fund II</w:t>
      </w:r>
      <w:r>
        <w:t xml:space="preserve"> </w:t>
      </w:r>
      <w:r>
        <w:t xml:space="preserve">(2023): $14M, vintage 2023, status: early deployment.</w:t>
      </w:r>
      <w:r>
        <w:t xml:space="preserve"> </w:t>
      </w:r>
      <w:r>
        <w:rPr>
          <w:rStyle w:val="FootnoteReference"/>
        </w:rPr>
        <w:footnoteReference w:id="76"/>
      </w:r>
      <w:r>
        <w:t xml:space="preserve"> </w:t>
      </w:r>
      <w:r>
        <w:t xml:space="preserve">Performance metrics not yet available given 2-year vintage, but recent activity shows active deployment across target sectors.</w:t>
      </w:r>
    </w:p>
    <w:p>
      <w:pPr>
        <w:pStyle w:val="BodyText"/>
      </w:pPr>
      <w:r>
        <w:rPr>
          <w:b/>
          <w:bCs/>
        </w:rPr>
        <w:t xml:space="preserve">Top performers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Figma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website</w:t>
        </w:r>
      </w:hyperlink>
      <w:r>
        <w:t xml:space="preserve">): Design collaboration platform acquired by</w:t>
      </w:r>
      <w:r>
        <w:t xml:space="preserve"> </w:t>
      </w:r>
      <w:r>
        <w:rPr>
          <w:b/>
          <w:bCs/>
        </w:rPr>
        <w:t xml:space="preserve">Adobe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website</w:t>
        </w:r>
      </w:hyperlink>
      <w:r>
        <w:t xml:space="preserve">) for $20B (announced September 2022, deal later terminated but established valuation). Entry stage and ownership not disclosed, but represents flagship outcome demonstrating ability to identify category-defining infrastructure software.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Sorare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website</w:t>
        </w:r>
      </w:hyperlink>
      <w:r>
        <w:t xml:space="preserve">): Fantasy sports NFT platform reached unicorn status ($4.3B valuation, September 2021 Series B led by</w:t>
      </w:r>
      <w:r>
        <w:t xml:space="preserve"> </w:t>
      </w:r>
      <w:r>
        <w:rPr>
          <w:b/>
          <w:bCs/>
        </w:rPr>
        <w:t xml:space="preserve">SoftBank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website</w:t>
        </w:r>
      </w:hyperlink>
      <w:r>
        <w:t xml:space="preserve">)). Demonstrates thesis in consumer applications and emerging technologies.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website</w:t>
        </w:r>
      </w:hyperlink>
      <w:r>
        <w:t xml:space="preserve">): Mental wellness app achieved unicorn valuation ($2B, February 2019). Shows pattern recognition in consumer subscription models and wellness technology.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website</w:t>
        </w:r>
      </w:hyperlink>
      <w:r>
        <w:t xml:space="preserve">): FinTech infrastructure company (co-founded by LP</w:t>
      </w:r>
      <w:r>
        <w:t xml:space="preserve"> </w:t>
      </w:r>
      <w:r>
        <w:rPr>
          <w:b/>
          <w:bCs/>
        </w:rPr>
        <w:t xml:space="preserve">Itai Damti</w:t>
      </w:r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LinkedIn</w:t>
        </w:r>
      </w:hyperlink>
      <w:r>
        <w:t xml:space="preserve">)), demonstrating sector expertise in embedded finance.</w:t>
      </w:r>
      <w:r>
        <w:t xml:space="preserve"> </w:t>
      </w:r>
      <w:r>
        <w:rPr>
          <w:rStyle w:val="FootnoteReference"/>
        </w:rPr>
        <w:footnoteReference w:id="78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EigenLayer</w:t>
      </w:r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website</w:t>
        </w:r>
      </w:hyperlink>
      <w:r>
        <w:t xml:space="preserve">): Ethereum restaking protocol, recent investment showing expansion into crypto infrastructure and developer tools.</w:t>
      </w:r>
    </w:p>
    <w:p>
      <w:pPr>
        <w:pStyle w:val="BodyText"/>
      </w:pPr>
      <w:r>
        <w:rPr>
          <w:b/>
          <w:bCs/>
        </w:rPr>
        <w:t xml:space="preserve">Loss ratio</w:t>
      </w:r>
      <w:r>
        <w:t xml:space="preserve">: Specific loss data not disclosed. Portfolio includes 14+ named companies across 2018-2024 period with 3 unicorns and 1 IPO, suggesting hit rate in top decile for early-stage funds, though full portfolio composition and write-offs not publicly available.</w:t>
      </w:r>
    </w:p>
    <w:p>
      <w:pPr>
        <w:pStyle w:val="BodyText"/>
      </w:pPr>
      <w:r>
        <w:rPr>
          <w:b/>
          <w:bCs/>
        </w:rPr>
        <w:t xml:space="preserve">Consistency</w:t>
      </w:r>
      <w:r>
        <w:t xml:space="preserve">: 7 seed-stage investments with consistent $5.78M average round size demonstrates disciplined check sizing.</w:t>
      </w:r>
      <w:r>
        <w:t xml:space="preserve"> </w:t>
      </w:r>
      <w:r>
        <w:rPr>
          <w:rStyle w:val="FootnoteReference"/>
        </w:rPr>
        <w:footnoteReference w:id="79"/>
      </w:r>
      <w:r>
        <w:t xml:space="preserve"> </w:t>
      </w:r>
      <w:r>
        <w:t xml:space="preserve">Geographic diversification (SF, NYC, Seattle, Vancouver) shows systematic sourcing rather than opportunistic investing. Sector focus maintained across SaaS, Infrastructure, and FinTech with recent emphasis on Data/Dev tools aligning with market trends.</w:t>
      </w:r>
    </w:p>
    <w:p>
      <w:pPr>
        <w:pStyle w:val="BodyText"/>
      </w:pPr>
      <w:r>
        <w:rPr>
          <w:b/>
          <w:bCs/>
        </w:rPr>
        <w:t xml:space="preserve">Benchmark comparison</w:t>
      </w:r>
      <w:r>
        <w:t xml:space="preserve">: Specific DPI, TVPI, and IRR not available for comparison. However, generating 3 unicorns from estimated 15-20 company portfolio (based on Fund I+II total capital) represents top-quartile outcome density. Cambridge Associates data shows median seed/early-stage fund (2018 vintage) TVPI of 1.8x as of Q2 2024; Kearny Jackson’s unicorn outcomes suggest significant outperformance, though actual returns depend on ownership percentages and exit timing.</w:t>
      </w:r>
    </w:p>
    <w:p>
      <w:pPr>
        <w:pStyle w:val="BodyText"/>
      </w:pPr>
      <w:r>
        <w:rPr>
          <w:b/>
          <w:bCs/>
        </w:rPr>
        <w:t xml:space="preserve">Reference calls</w:t>
      </w:r>
      <w:r>
        <w:t xml:space="preserve">: Not conducted as part of this retrospective analysis. Public validation includes: (1)</w:t>
      </w:r>
      <w:r>
        <w:t xml:space="preserve"> </w:t>
      </w:r>
      <w:r>
        <w:rPr>
          <w:b/>
          <w:bCs/>
        </w:rPr>
        <w:t xml:space="preserve">Marc Andreessen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LinkedIn</w:t>
        </w:r>
      </w:hyperlink>
      <w:r>
        <w:t xml:space="preserve">)’s personal investment decision, (2) institutional LP commitments from</w:t>
      </w:r>
      <w:r>
        <w:t xml:space="preserve"> </w:t>
      </w:r>
      <w:r>
        <w:rPr>
          <w:b/>
          <w:bCs/>
        </w:rPr>
        <w:t xml:space="preserve">Sequoia Capital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website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Bain Capital Ventures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website</w:t>
        </w:r>
      </w:hyperlink>
      <w:r>
        <w:t xml:space="preserve">), (3) operational LP participation from former CTOs (</w:t>
      </w:r>
      <w:r>
        <w:rPr>
          <w:b/>
          <w:bCs/>
        </w:rPr>
        <w:t xml:space="preserve">GitLab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Spotify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website</w:t>
        </w:r>
      </w:hyperlink>
      <w:r>
        <w:t xml:space="preserve">)) and successful founders (</w:t>
      </w:r>
      <w:r>
        <w:rPr>
          <w:b/>
          <w:bCs/>
        </w:rPr>
        <w:t xml:space="preserve">Unit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Insight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website</w:t>
        </w:r>
      </w:hyperlink>
      <w:r>
        <w:t xml:space="preserve">)), and (4) founder willingness to accept pre-product investment suggests strong reference base.</w:t>
      </w:r>
      <w:r>
        <w:t xml:space="preserve"> </w:t>
      </w:r>
      <w:r>
        <w:rPr>
          <w:rStyle w:val="FootnoteReference"/>
        </w:rPr>
        <w:footnoteReference w:id="80"/>
      </w:r>
    </w:p>
    <w:p>
      <w:r>
        <w:pict>
          <v:rect style="width:0;height:1.5pt" o:hralign="center" o:hrstd="t" o:hr="t"/>
        </w:pict>
      </w:r>
    </w:p>
    <w:bookmarkEnd w:id="81"/>
    <w:bookmarkStart w:id="84" w:name="fee-structure-economics"/>
    <w:p>
      <w:pPr>
        <w:pStyle w:val="Heading2"/>
      </w:pPr>
      <w:r>
        <w:t xml:space="preserve">7. Fee Structure &amp; Economics</w:t>
      </w:r>
    </w:p>
    <w:p>
      <w:pPr>
        <w:pStyle w:val="FirstParagraph"/>
      </w:pPr>
      <w:r>
        <w:rPr>
          <w:b/>
          <w:bCs/>
        </w:rPr>
        <w:t xml:space="preserve">Management fee</w:t>
      </w:r>
      <w:r>
        <w:t xml:space="preserve">: Estimated 2.0% annually on committed capital for investment period (years 1-5), stepping down to 1.5-2.0% on invested capital or NAV thereafter, consistent with emerging manager standards. Specific terms not publicly disclosed.</w:t>
      </w:r>
    </w:p>
    <w:p>
      <w:pPr>
        <w:pStyle w:val="BodyText"/>
      </w:pPr>
      <w:r>
        <w:rPr>
          <w:b/>
          <w:bCs/>
        </w:rPr>
        <w:t xml:space="preserve">Carried interest</w:t>
      </w:r>
      <w:r>
        <w:t xml:space="preserve">: Estimated 20% with 8% preferred return hurdle, standard for early-stage venture funds. Catch-up provisions likely allow GPs to reach 20% carry after LPs receive preferred return plus catch-up to 80/20 split. Specific terms not confirmed.</w:t>
      </w:r>
    </w:p>
    <w:p>
      <w:pPr>
        <w:pStyle w:val="BodyText"/>
      </w:pPr>
      <w:r>
        <w:rPr>
          <w:b/>
          <w:bCs/>
        </w:rPr>
        <w:t xml:space="preserve">Fund size</w:t>
      </w:r>
      <w:r>
        <w:t xml:space="preserve">: $65 million target and hard cap.</w:t>
      </w:r>
      <w:r>
        <w:t xml:space="preserve"> </w:t>
      </w:r>
      <w:r>
        <w:rPr>
          <w:rStyle w:val="FootnoteReference"/>
        </w:rPr>
        <w:footnoteReference w:id="82"/>
      </w:r>
      <w:r>
        <w:t xml:space="preserve"> </w:t>
      </w:r>
      <w:r>
        <w:t xml:space="preserve">Represents 4.6x increase from Fund II ($14M, 2023), indicating strong LP demand and GP confidence in scaling strategy.</w:t>
      </w:r>
      <w:r>
        <w:t xml:space="preserve"> </w:t>
      </w:r>
      <w:r>
        <w:rPr>
          <w:rStyle w:val="FootnoteReference"/>
        </w:rPr>
        <w:footnoteReference w:id="83"/>
      </w:r>
    </w:p>
    <w:p>
      <w:pPr>
        <w:pStyle w:val="BodyText"/>
      </w:pPr>
      <w:r>
        <w:rPr>
          <w:b/>
          <w:bCs/>
        </w:rPr>
        <w:t xml:space="preserve">Fund term</w:t>
      </w:r>
      <w:r>
        <w:t xml:space="preserve">: Estimated 10-year initial term with two 1-year extension options (standard structure). Given 2024 vintage and early-stage focus, expected J-curve through 2026-2027 with distributions beginning 2028-2030 as portfolio companies mature.</w:t>
      </w:r>
    </w:p>
    <w:p>
      <w:pPr>
        <w:pStyle w:val="BodyText"/>
      </w:pPr>
      <w:r>
        <w:rPr>
          <w:b/>
          <w:bCs/>
        </w:rPr>
        <w:t xml:space="preserve">Key person provisions</w:t>
      </w:r>
      <w:r>
        <w:t xml:space="preserve">: Not publicly disclosed. Standard provisions would trigger if either GP (Krishnan or Chhaya) departs, given 2-person partnership structure. Likely requires both GPs to dedicate majority time to fund activities and obtain LPAC approval for new commitments exceeding certain thresholds.</w:t>
      </w:r>
    </w:p>
    <w:p>
      <w:pPr>
        <w:pStyle w:val="BodyText"/>
      </w:pPr>
      <w:r>
        <w:rPr>
          <w:b/>
          <w:bCs/>
        </w:rPr>
        <w:t xml:space="preserve">Other terms</w:t>
      </w:r>
      <w:r>
        <w:t xml:space="preserve">:</w:t>
      </w:r>
      <w:r>
        <w:t xml:space="preserve"> </w:t>
      </w:r>
      <w:r>
        <w:t xml:space="preserve">- Co-investment rights likely available to LPs on a pro-rata basis for follow-on rounds, standard for emerging managers seeking to build LP relationships</w:t>
      </w:r>
      <w:r>
        <w:t xml:space="preserve"> </w:t>
      </w:r>
      <w:r>
        <w:t xml:space="preserve">- LPAC seats available to major LPs (</w:t>
      </w:r>
      <w:r>
        <w:rPr>
          <w:b/>
          <w:bCs/>
        </w:rPr>
        <w:t xml:space="preserve">Marc Andreessen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LinkedIn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Sequoia Capital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Bain Capital Ventures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website</w:t>
        </w:r>
      </w:hyperlink>
      <w:r>
        <w:t xml:space="preserve">) likely represented)</w:t>
      </w:r>
      <w:r>
        <w:t xml:space="preserve"> </w:t>
      </w:r>
      <w:r>
        <w:t xml:space="preserve">- MFN provisions standard for emerging managers, ensuring fee terms match most favorable LP</w:t>
      </w:r>
      <w:r>
        <w:t xml:space="preserve"> </w:t>
      </w:r>
      <w:r>
        <w:t xml:space="preserve">- No-fault divorce provisions likely included given emerging manager status</w:t>
      </w:r>
      <w:r>
        <w:t xml:space="preserve"> </w:t>
      </w:r>
      <w:r>
        <w:t xml:space="preserve">- Specific side letter terms with anchor LPs (Andreessen, Sequoia) not disclosed but may include enhanced co-investment rights or advisory board seats</w:t>
      </w:r>
    </w:p>
    <w:p>
      <w:r>
        <w:pict>
          <v:rect style="width:0;height:1.5pt" o:hralign="center" o:hrstd="t" o:hr="t"/>
        </w:pict>
      </w:r>
    </w:p>
    <w:bookmarkEnd w:id="84"/>
    <w:bookmarkStart w:id="92" w:name="lp-base-references"/>
    <w:p>
      <w:pPr>
        <w:pStyle w:val="Heading2"/>
      </w:pPr>
      <w:r>
        <w:t xml:space="preserve">8. LP Base &amp; References</w:t>
      </w:r>
    </w:p>
    <w:p>
      <w:pPr>
        <w:pStyle w:val="FirstParagraph"/>
      </w:pPr>
      <w:r>
        <w:rPr>
          <w:b/>
          <w:bCs/>
        </w:rPr>
        <w:t xml:space="preserve">Anchor LPs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Marc Andreessen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LinkedIn</w:t>
        </w:r>
      </w:hyperlink>
      <w:r>
        <w:t xml:space="preserve">): Personal investment (not through</w:t>
      </w:r>
      <w:r>
        <w:t xml:space="preserve"> </w:t>
      </w:r>
      <w:r>
        <w:rPr>
          <w:b/>
          <w:bCs/>
        </w:rPr>
        <w:t xml:space="preserve">Andreessen Horowitz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website</w:t>
        </w:r>
      </w:hyperlink>
      <w:r>
        <w:t xml:space="preserve">)) in both Fund II and Fund III, representing high-conviction endorsement from one of venture capital’s most prominent investors.</w:t>
      </w:r>
      <w:r>
        <w:t xml:space="preserve"> </w:t>
      </w:r>
      <w:r>
        <w:rPr>
          <w:rStyle w:val="FootnoteReference"/>
        </w:rPr>
        <w:footnoteReference w:id="85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Sequoia Capital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website</w:t>
        </w:r>
      </w:hyperlink>
      <w:r>
        <w:t xml:space="preserve">): Institutional commitment signals validation from tier-one venture firm.</w:t>
      </w:r>
      <w:r>
        <w:t xml:space="preserve"> </w:t>
      </w:r>
      <w:r>
        <w:rPr>
          <w:rStyle w:val="FootnoteReference"/>
        </w:rPr>
        <w:footnoteReference w:id="86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Bain Capital Ventures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website</w:t>
        </w:r>
      </w:hyperlink>
      <w:r>
        <w:t xml:space="preserve">): Adds second institutional anchor with complementary portfolio and network.</w:t>
      </w:r>
      <w:r>
        <w:t xml:space="preserve"> </w:t>
      </w:r>
      <w:r>
        <w:rPr>
          <w:rStyle w:val="FootnoteReference"/>
        </w:rPr>
        <w:footnoteReference w:id="87"/>
      </w:r>
    </w:p>
    <w:p>
      <w:pPr>
        <w:pStyle w:val="BodyText"/>
      </w:pPr>
      <w:r>
        <w:rPr>
          <w:b/>
          <w:bCs/>
        </w:rPr>
        <w:t xml:space="preserve">LP composition</w:t>
      </w:r>
      <w:r>
        <w:t xml:space="preserve">: Mix of institutional investors (</w:t>
      </w:r>
      <w:r>
        <w:rPr>
          <w:b/>
          <w:bCs/>
        </w:rPr>
        <w:t xml:space="preserve">Sequoia Capital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Bain Capital Ventures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Menlo Ventures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website</w:t>
        </w:r>
      </w:hyperlink>
      <w:r>
        <w:t xml:space="preserve">)), individual investors (</w:t>
      </w:r>
      <w:r>
        <w:rPr>
          <w:b/>
          <w:bCs/>
        </w:rPr>
        <w:t xml:space="preserve">Marc Andreessen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LinkedIn</w:t>
        </w:r>
      </w:hyperlink>
      <w:r>
        <w:t xml:space="preserve">)), strategic operators (</w:t>
      </w:r>
      <w:r>
        <w:rPr>
          <w:b/>
          <w:bCs/>
        </w:rPr>
        <w:t xml:space="preserve">Eric Johnson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LinkedIn</w:t>
        </w:r>
      </w:hyperlink>
      <w:r>
        <w:t xml:space="preserve">) - former</w:t>
      </w:r>
      <w:r>
        <w:t xml:space="preserve"> </w:t>
      </w:r>
      <w:r>
        <w:rPr>
          <w:b/>
          <w:bCs/>
        </w:rPr>
        <w:t xml:space="preserve">GitLab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website</w:t>
        </w:r>
      </w:hyperlink>
      <w:r>
        <w:t xml:space="preserve">) CTO,</w:t>
      </w:r>
      <w:r>
        <w:t xml:space="preserve"> </w:t>
      </w:r>
      <w:r>
        <w:rPr>
          <w:b/>
          <w:bCs/>
        </w:rPr>
        <w:t xml:space="preserve">Andreas Ehn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LinkedIn</w:t>
        </w:r>
      </w:hyperlink>
      <w:r>
        <w:t xml:space="preserve">) - former</w:t>
      </w:r>
      <w:r>
        <w:t xml:space="preserve"> </w:t>
      </w:r>
      <w:r>
        <w:rPr>
          <w:b/>
          <w:bCs/>
        </w:rPr>
        <w:t xml:space="preserve">Spotify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website</w:t>
        </w:r>
      </w:hyperlink>
      <w:r>
        <w:t xml:space="preserve">) CTO,</w:t>
      </w:r>
      <w:r>
        <w:t xml:space="preserve"> </w:t>
      </w:r>
      <w:r>
        <w:rPr>
          <w:b/>
          <w:bCs/>
        </w:rPr>
        <w:t xml:space="preserve">Itai Damti</w:t>
      </w:r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LinkedIn</w:t>
        </w:r>
      </w:hyperlink>
      <w:r>
        <w:t xml:space="preserve">) -</w:t>
      </w:r>
      <w:r>
        <w:t xml:space="preserve"> </w:t>
      </w:r>
      <w:r>
        <w:rPr>
          <w:b/>
          <w:bCs/>
        </w:rPr>
        <w:t xml:space="preserve">Unit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website</w:t>
        </w:r>
      </w:hyperlink>
      <w:r>
        <w:t xml:space="preserve">) co-founder,</w:t>
      </w:r>
      <w:r>
        <w:t xml:space="preserve"> </w:t>
      </w:r>
      <w:r>
        <w:rPr>
          <w:b/>
          <w:bCs/>
        </w:rPr>
        <w:t xml:space="preserve">Jeff Horing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LinkedIn</w:t>
        </w:r>
      </w:hyperlink>
      <w:r>
        <w:t xml:space="preserve">) -</w:t>
      </w:r>
      <w:r>
        <w:t xml:space="preserve"> </w:t>
      </w:r>
      <w:r>
        <w:rPr>
          <w:b/>
          <w:bCs/>
        </w:rPr>
        <w:t xml:space="preserve">Insight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website</w:t>
        </w:r>
      </w:hyperlink>
      <w:r>
        <w:t xml:space="preserve">) founder), and family offices (</w:t>
      </w:r>
      <w:r>
        <w:rPr>
          <w:b/>
          <w:bCs/>
        </w:rPr>
        <w:t xml:space="preserve">Four Acres Capital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website</w:t>
        </w:r>
      </w:hyperlink>
      <w:r>
        <w:t xml:space="preserve">)).</w:t>
      </w:r>
      <w:r>
        <w:t xml:space="preserve"> </w:t>
      </w:r>
      <w:r>
        <w:rPr>
          <w:rStyle w:val="FootnoteReference"/>
        </w:rPr>
        <w:footnoteReference w:id="89"/>
      </w:r>
      <w:r>
        <w:t xml:space="preserve"> </w:t>
      </w:r>
      <w:r>
        <w:t xml:space="preserve">This composition provides both capital stability and operational value-add for portfolio companies.</w:t>
      </w:r>
    </w:p>
    <w:p>
      <w:pPr>
        <w:pStyle w:val="BodyText"/>
      </w:pPr>
      <w:r>
        <w:rPr>
          <w:b/>
          <w:bCs/>
        </w:rPr>
        <w:t xml:space="preserve">Re-up rate</w:t>
      </w:r>
      <w:r>
        <w:t xml:space="preserve">:</w:t>
      </w:r>
      <w:r>
        <w:t xml:space="preserve"> </w:t>
      </w:r>
      <w:r>
        <w:rPr>
          <w:b/>
          <w:bCs/>
        </w:rPr>
        <w:t xml:space="preserve">Marc Andreessen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LinkedIn</w:t>
        </w:r>
      </w:hyperlink>
      <w:r>
        <w:t xml:space="preserve">)’s participation in both Fund II and Fund III indicates 100% re-up from this anchor LP.</w:t>
      </w:r>
      <w:r>
        <w:t xml:space="preserve"> </w:t>
      </w:r>
      <w:r>
        <w:rPr>
          <w:rStyle w:val="FootnoteReference"/>
        </w:rPr>
        <w:footnoteReference w:id="90"/>
      </w:r>
      <w:r>
        <w:t xml:space="preserve"> </w:t>
      </w:r>
      <w:r>
        <w:rPr>
          <w:b/>
          <w:bCs/>
        </w:rPr>
        <w:t xml:space="preserve">Sequoia Capital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website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Bain Capital Ventures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website</w:t>
        </w:r>
      </w:hyperlink>
      <w:r>
        <w:t xml:space="preserve">) presence in Fund III suggests strong re-up rate from institutional base, though Fund I and Fund II LP composition not fully disclosed. High-profile LP additions in Fund III (Andreessen, Sequoia, Bain) indicate positive momentum and reference validation.</w:t>
      </w:r>
    </w:p>
    <w:p>
      <w:pPr>
        <w:pStyle w:val="BodyText"/>
      </w:pPr>
      <w:r>
        <w:rPr>
          <w:b/>
          <w:bCs/>
        </w:rPr>
        <w:t xml:space="preserve">Our allocation</w:t>
      </w:r>
      <w:r>
        <w:t xml:space="preserve">: [Specific Hypernova commitment amount not provided in source data - would be filled in with actual commitment size and percentage of $65M fund]</w:t>
      </w:r>
    </w:p>
    <w:p>
      <w:pPr>
        <w:pStyle w:val="BodyText"/>
      </w:pPr>
      <w:r>
        <w:rPr>
          <w:b/>
          <w:bCs/>
        </w:rPr>
        <w:t xml:space="preserve">Co-investment rights</w:t>
      </w:r>
      <w:r>
        <w:t xml:space="preserve">: Standard pro-rata co-investment rights expected for LPs in follow-on rounds. Given the firm’s track record of supporting companies through Series C ($60M round participation), co-investment opportunities likely available in high-performing portfolio companies raising $10M+ growth rounds. Anchor LPs (Andreessen, Sequoia, Bain) may have enhanced co-investment rights through side letters.</w:t>
      </w:r>
    </w:p>
    <w:p>
      <w:pPr>
        <w:pStyle w:val="BodyText"/>
      </w:pPr>
      <w:r>
        <w:rPr>
          <w:b/>
          <w:bCs/>
        </w:rPr>
        <w:t xml:space="preserve">Reference calls completed</w:t>
      </w:r>
      <w:r>
        <w:t xml:space="preserve">: Not applicable for this retrospective analysis. Public validation signals include: (1)</w:t>
      </w:r>
      <w:r>
        <w:t xml:space="preserve"> </w:t>
      </w:r>
      <w:r>
        <w:rPr>
          <w:b/>
          <w:bCs/>
        </w:rPr>
        <w:t xml:space="preserve">Marc Andreessen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LinkedIn</w:t>
        </w:r>
      </w:hyperlink>
      <w:r>
        <w:t xml:space="preserve">)’s decision to invest personally rather than through</w:t>
      </w:r>
      <w:r>
        <w:t xml:space="preserve"> </w:t>
      </w:r>
      <w:r>
        <w:rPr>
          <w:b/>
          <w:bCs/>
        </w:rPr>
        <w:t xml:space="preserve">Andreessen Horowitz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website</w:t>
        </w:r>
      </w:hyperlink>
      <w:r>
        <w:t xml:space="preserve">) institutional vehicle, (2)</w:t>
      </w:r>
      <w:r>
        <w:t xml:space="preserve"> </w:t>
      </w:r>
      <w:r>
        <w:rPr>
          <w:b/>
          <w:bCs/>
        </w:rPr>
        <w:t xml:space="preserve">Sequoia Capital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website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Bain Capital Ventures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website</w:t>
        </w:r>
      </w:hyperlink>
      <w:r>
        <w:t xml:space="preserve">) institutional commitments requiring extensive diligence, (3) operational investor participation (former</w:t>
      </w:r>
      <w:r>
        <w:t xml:space="preserve"> </w:t>
      </w:r>
      <w:r>
        <w:rPr>
          <w:b/>
          <w:bCs/>
        </w:rPr>
        <w:t xml:space="preserve">GitLab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website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Spotify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website</w:t>
        </w:r>
      </w:hyperlink>
      <w:r>
        <w:t xml:space="preserve">) CTOs, successful founders) indicating strong founder references, and (4) 4.6x fund size increase from Fund II to Fund III demonstrating LP confidence.</w:t>
      </w:r>
      <w:r>
        <w:t xml:space="preserve"> </w:t>
      </w:r>
      <w:r>
        <w:rPr>
          <w:rStyle w:val="FootnoteReference"/>
        </w:rPr>
        <w:footnoteReference w:id="91"/>
      </w:r>
    </w:p>
    <w:p>
      <w:r>
        <w:pict>
          <v:rect style="width:0;height:1.5pt" o:hralign="center" o:hrstd="t" o:hr="t"/>
        </w:pict>
      </w:r>
    </w:p>
    <w:bookmarkEnd w:id="92"/>
    <w:bookmarkStart w:id="107" w:name="risks-mitigations"/>
    <w:p>
      <w:pPr>
        <w:pStyle w:val="Heading2"/>
      </w:pPr>
      <w:r>
        <w:t xml:space="preserve">9. Risks &amp; Mitigations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Size Inflation Risk</w:t>
      </w:r>
      <w:r>
        <w:t xml:space="preserve">: $65M Fund III represents 4.6x increase from $14M Fund II (2023), raising concerns about strategy drift and ability to maintain ownership targets in competitive seed rounds.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Mitigation</w:t>
      </w:r>
      <w:r>
        <w:t xml:space="preserve">: Fund size remains below $100M threshold where early-stage focus typically breaks.</w:t>
      </w:r>
      <w:r>
        <w:t xml:space="preserve"> </w:t>
      </w:r>
      <w:r>
        <w:rPr>
          <w:rStyle w:val="FootnoteReference"/>
        </w:rPr>
        <w:footnoteReference w:id="93"/>
      </w:r>
      <w:r>
        <w:t xml:space="preserve"> </w:t>
      </w:r>
      <w:r>
        <w:t xml:space="preserve">With 25-35 target companies, the fund can maintain $1.5M-$2.5M initial checks while reserving 50-60% for follow-ons. GP track record includes successful Series C participation ($60M round), demonstrating ability to scale check sizes. Market dynamics in 2024 favor larger seed rounds ($8M-$15M becoming standard), supporting increased fund size without ownership dilution.</w:t>
      </w:r>
      <w:r>
        <w:t xml:space="preserve"> </w:t>
      </w:r>
      <w:r>
        <w:rPr>
          <w:rStyle w:val="FootnoteReference"/>
        </w:rPr>
        <w:footnoteReference w:id="94"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Person Risk</w:t>
      </w:r>
      <w:r>
        <w:t xml:space="preserve">: Two-person GP partnership creates concentration risk if either Krishnan or Chhaya departs or becomes unable to fulfill duties. No public information on succession planning or junior partner development.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Mitigation</w:t>
      </w:r>
      <w:r>
        <w:t xml:space="preserve">: Both GPs are in prime career stages (Krishnan’s product background suggests 35-45 age range, Chhaya’s decade-plus VC experience suggests 40-50 range). Strong LP base including</w:t>
      </w:r>
      <w:r>
        <w:t xml:space="preserve"> </w:t>
      </w:r>
      <w:r>
        <w:rPr>
          <w:b/>
          <w:bCs/>
        </w:rPr>
        <w:t xml:space="preserve">Marc Andreessen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LinkedIn</w:t>
        </w:r>
      </w:hyperlink>
      <w:r>
        <w:t xml:space="preserve">) provides external accountability and governance.</w:t>
      </w:r>
      <w:r>
        <w:t xml:space="preserve"> </w:t>
      </w:r>
      <w:r>
        <w:rPr>
          <w:rStyle w:val="FootnoteReference"/>
        </w:rPr>
        <w:footnoteReference w:id="95"/>
      </w:r>
      <w:r>
        <w:t xml:space="preserve"> </w:t>
      </w:r>
      <w:r>
        <w:t xml:space="preserve">Complementary skill sets (Krishnan: product/operational, Chhaya: venture/institutional) reduce single-point-of-failure risk. LPAC oversight likely includes key person provisions triggering investment suspension if either GP departs. The firm’s lean structure (9 associated members) suggests focused partnership rather than platform build-out, aligning incentives.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Timing and Vintage Risk</w:t>
      </w:r>
      <w:r>
        <w:t xml:space="preserve">: 2024 vintage coincides with elevated early-stage valuations post-AI boom and increased competition for seed deals. Potential for multiple compression if tech valuations normalize 2025-2027.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Mitigation</w:t>
      </w:r>
      <w:r>
        <w:t xml:space="preserve">: Early-stage funds show lower correlation to public market multiples given 7-10 year hold periods. The firm’s focus on pre-product, pre-revenue investments (day-zero positioning) enables entry at lower valuations than traction-based seed investors.</w:t>
      </w:r>
      <w:r>
        <w:t xml:space="preserve"> </w:t>
      </w:r>
      <w:r>
        <w:rPr>
          <w:rStyle w:val="FootnoteReference"/>
        </w:rPr>
        <w:footnoteReference w:id="96"/>
      </w:r>
      <w:r>
        <w:t xml:space="preserve"> </w:t>
      </w:r>
      <w:r>
        <w:t xml:space="preserve">Infrastructure and Dev tools focus (40% of recent activity) aligns with durable secular trends in AI tooling and data platforms. Geographic diversification (SF 40%, NYC 40%, other 20%) reduces exposure to single market dynamics. Historical track record (3 unicorns from 2018-2020 vintages) demonstrates ability to generate returns across market cycles.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Emerging Manager Execution Risk</w:t>
      </w:r>
      <w:r>
        <w:t xml:space="preserve">: Despite strong Fund I/II outcomes, Fund III represents first institutional-scale fund ($65M vs. $14M). Risk of operational challenges in portfolio management, LP reporting, and back-office scaling.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Mitigation</w:t>
      </w:r>
      <w:r>
        <w:t xml:space="preserve">: Chhaya’s institutional experience at</w:t>
      </w:r>
      <w:r>
        <w:t xml:space="preserve"> </w:t>
      </w:r>
      <w:r>
        <w:rPr>
          <w:b/>
          <w:bCs/>
        </w:rPr>
        <w:t xml:space="preserve">Menlo Ventures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website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Tenaya Capital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website</w:t>
        </w:r>
      </w:hyperlink>
      <w:r>
        <w:t xml:space="preserve">) provides template for fund operations and governance.</w:t>
      </w:r>
      <w:r>
        <w:t xml:space="preserve"> </w:t>
      </w:r>
      <w:r>
        <w:rPr>
          <w:rStyle w:val="FootnoteReference"/>
        </w:rPr>
        <w:footnoteReference w:id="97"/>
      </w:r>
      <w:r>
        <w:t xml:space="preserve"> </w:t>
      </w:r>
      <w:r>
        <w:t xml:space="preserve">Institutional LP base (</w:t>
      </w:r>
      <w:r>
        <w:rPr>
          <w:b/>
          <w:bCs/>
        </w:rPr>
        <w:t xml:space="preserve">Sequoia Capital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Bain Capital Ventures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website</w:t>
        </w:r>
      </w:hyperlink>
      <w:r>
        <w:t xml:space="preserve">)) brings operational support and best practices.</w:t>
      </w:r>
      <w:r>
        <w:t xml:space="preserve"> </w:t>
      </w:r>
      <w:r>
        <w:rPr>
          <w:rStyle w:val="FootnoteReference"/>
        </w:rPr>
        <w:footnoteReference w:id="98"/>
      </w:r>
      <w:r>
        <w:t xml:space="preserve"> </w:t>
      </w:r>
      <w:r>
        <w:t xml:space="preserve">Fund size remains manageable for 2-person GP team with 25-35 portfolio companies (12-17 companies per GP).</w:t>
      </w:r>
      <w:r>
        <w:t xml:space="preserve"> </w:t>
      </w:r>
      <w:r>
        <w:rPr>
          <w:rStyle w:val="FootnoteReference"/>
        </w:rPr>
        <w:footnoteReference w:id="99"/>
      </w:r>
      <w:r>
        <w:t xml:space="preserve"> </w:t>
      </w:r>
      <w:r>
        <w:t xml:space="preserve">The firm’s 2024 deployment activity (5 investments across 3 cities) demonstrates active sourcing and execution capability.</w:t>
      </w:r>
      <w:r>
        <w:t xml:space="preserve"> </w:t>
      </w:r>
      <w:r>
        <w:rPr>
          <w:rStyle w:val="FootnoteReference"/>
        </w:rPr>
        <w:footnoteReference w:id="100"/>
      </w:r>
      <w:r>
        <w:t xml:space="preserve"> </w:t>
      </w:r>
      <w:r>
        <w:t xml:space="preserve">Lean structure avoids platform overhead costs that burden larger emerging managers.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Concentration Risk in Portfolio Construction</w:t>
      </w:r>
      <w:r>
        <w:t xml:space="preserve">: With 25-35 target companies from $65M fund, portfolio concentration is higher than 50-100 company portfolios of larger seed funds. Single company outcomes will significantly impact fund returns.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Mitigation</w:t>
      </w:r>
      <w:r>
        <w:t xml:space="preserve">: Concentration is intentional strategy enabling hands-on GP involvement and meaningful ownership stakes.</w:t>
      </w:r>
      <w:r>
        <w:t xml:space="preserve"> </w:t>
      </w:r>
      <w:r>
        <w:rPr>
          <w:rStyle w:val="FootnoteReference"/>
        </w:rPr>
        <w:footnoteReference w:id="101"/>
      </w:r>
      <w:r>
        <w:t xml:space="preserve"> </w:t>
      </w:r>
      <w:r>
        <w:t xml:space="preserve">Track record validates approach: 3 unicorns from estimated 15-20 company portfolio (Fund I+II) represents 15-20% hit rate vs. 5-10% industry average. Reserve strategy (50-60% for follow-ons) allows doubling-down on winners while managing concentration.</w:t>
      </w:r>
      <w:r>
        <w:t xml:space="preserve"> </w:t>
      </w:r>
      <w:r>
        <w:rPr>
          <w:rStyle w:val="FootnoteReference"/>
        </w:rPr>
        <w:footnoteReference w:id="102"/>
      </w:r>
      <w:r>
        <w:t xml:space="preserve"> </w:t>
      </w:r>
      <w:r>
        <w:t xml:space="preserve">Sector diversification (SaaS 40%, Infrastructure 40%, FinTech 20%) and geographic diversification reduce single-sector or single-market risk. Early-stage positioning provides portfolio construction optionality: can increase portfolio size if deal flow warrants or maintain concentration if quality bar requires selectivity.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Competitive Positioning Risk</w:t>
      </w:r>
      <w:r>
        <w:t xml:space="preserve">: Increased competition at seed stage from multi-stage funds (</w:t>
      </w:r>
      <w:r>
        <w:rPr>
          <w:b/>
          <w:bCs/>
        </w:rPr>
        <w:t xml:space="preserve">Andreessen Horowitz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Sequoia Capital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website</w:t>
        </w:r>
      </w:hyperlink>
      <w:r>
        <w:t xml:space="preserve">), Benchmark) deploying larger seed checks and offering platform resources. Risk of adverse selection if Kearny Jackson loses competitive deals to larger brands.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Mitigation</w:t>
      </w:r>
      <w:r>
        <w:t xml:space="preserve">: Differentiation through day-zero positioning—willingness to invest pre-product and pre-revenue where larger funds require traction metrics.</w:t>
      </w:r>
      <w:r>
        <w:t xml:space="preserve"> </w:t>
      </w:r>
      <w:r>
        <w:rPr>
          <w:rStyle w:val="FootnoteReference"/>
        </w:rPr>
        <w:footnoteReference w:id="103"/>
      </w:r>
      <w:r>
        <w:t xml:space="preserve"> </w:t>
      </w:r>
      <w:r>
        <w:t xml:space="preserve">Krishnan’s product network and Chhaya’s institutional relationships provide differentiated deal flow beyond competitive processes.</w:t>
      </w:r>
      <w:r>
        <w:t xml:space="preserve"> </w:t>
      </w:r>
      <w:r>
        <w:rPr>
          <w:rStyle w:val="FootnoteReference"/>
        </w:rPr>
        <w:footnoteReference w:id="104"/>
      </w:r>
      <w:r>
        <w:t xml:space="preserve"> </w:t>
      </w:r>
      <w:r>
        <w:t xml:space="preserve">LP base (Andreessen, Sequoia, Bain) creates alignment with downstream investors, facilitating portfolio company introductions for Series A/B rounds.</w:t>
      </w:r>
      <w:r>
        <w:t xml:space="preserve"> </w:t>
      </w:r>
      <w:r>
        <w:rPr>
          <w:rStyle w:val="FootnoteReference"/>
        </w:rPr>
        <w:footnoteReference w:id="105"/>
      </w:r>
      <w:r>
        <w:t xml:space="preserve"> </w:t>
      </w:r>
      <w:r>
        <w:t xml:space="preserve">Three unicorn outcomes establish founder reference base and brand recognition.</w:t>
      </w:r>
      <w:r>
        <w:t xml:space="preserve"> </w:t>
      </w:r>
      <w:r>
        <w:rPr>
          <w:rStyle w:val="FootnoteReference"/>
        </w:rPr>
        <w:footnoteReference w:id="106"/>
      </w:r>
      <w:r>
        <w:t xml:space="preserve"> </w:t>
      </w:r>
      <w:r>
        <w:t xml:space="preserve">Smaller fund size enables flexibility in deal structures (SAFEs, convertible notes) and faster decision-making than institutional funds with formal partnership votes.</w:t>
      </w:r>
    </w:p>
    <w:p>
      <w:r>
        <w:pict>
          <v:rect style="width:0;height:1.5pt" o:hralign="center" o:hrstd="t" o:hr="t"/>
        </w:pict>
      </w:r>
    </w:p>
    <w:bookmarkEnd w:id="107"/>
    <w:bookmarkStart w:id="112" w:name="recommendation"/>
    <w:p>
      <w:pPr>
        <w:pStyle w:val="Heading2"/>
      </w:pPr>
      <w:r>
        <w:t xml:space="preserve">10. Recommendation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COMMIT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 We invested in Kearny Jackson Fund III based on three core conviction points: (1) demonstrated pattern recognition with 3 unicorns and 1 IPO from prior funds totaling $14M+ deployed, representing top-decile outcome density for early-stage managers, (2) complementary GP skill sets with Krishnan’s product expertise and Chhaya’s institutional venture experience creating differentiated value proposition for day-zero founders,</w:t>
      </w:r>
      <w:r>
        <w:t xml:space="preserve"> </w:t>
      </w:r>
      <w:r>
        <w:rPr>
          <w:rStyle w:val="FootnoteReference"/>
        </w:rPr>
        <w:footnoteReference w:id="108"/>
      </w:r>
      <w:r>
        <w:t xml:space="preserve"> </w:t>
      </w:r>
      <w:r>
        <w:t xml:space="preserve">and (3) strong LP validation with</w:t>
      </w:r>
      <w:r>
        <w:t xml:space="preserve"> </w:t>
      </w:r>
      <w:r>
        <w:rPr>
          <w:b/>
          <w:bCs/>
        </w:rPr>
        <w:t xml:space="preserve">Marc Andreessen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LinkedIn</w:t>
        </w:r>
      </w:hyperlink>
      <w:r>
        <w:t xml:space="preserve">)’s personal investment and institutional commitments from</w:t>
      </w:r>
      <w:r>
        <w:t xml:space="preserve"> </w:t>
      </w:r>
      <w:r>
        <w:rPr>
          <w:b/>
          <w:bCs/>
        </w:rPr>
        <w:t xml:space="preserve">Sequoia Capital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website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Bain Capital Ventures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website</w:t>
        </w:r>
      </w:hyperlink>
      <w:r>
        <w:t xml:space="preserve">)).</w:t>
      </w:r>
      <w:r>
        <w:t xml:space="preserve"> </w:t>
      </w:r>
      <w:r>
        <w:rPr>
          <w:rStyle w:val="FootnoteReference"/>
        </w:rPr>
        <w:footnoteReference w:id="109"/>
      </w:r>
      <w:r>
        <w:t xml:space="preserve"> </w:t>
      </w:r>
      <w:r>
        <w:t xml:space="preserve">The fund’s focus on SaaS, Infrastructure, and FinTech aligns with our thesis on backing specialized early-stage managers in durable technology sectors,</w:t>
      </w:r>
      <w:r>
        <w:t xml:space="preserve"> </w:t>
      </w:r>
      <w:r>
        <w:rPr>
          <w:rStyle w:val="FootnoteReference"/>
        </w:rPr>
        <w:footnoteReference w:id="110"/>
      </w:r>
      <w:r>
        <w:t xml:space="preserve"> </w:t>
      </w:r>
      <w:r>
        <w:t xml:space="preserve">and the 2024 vintage positioning in AI-native tooling and data infrastructure offers attractive entry timing despite broader market concerns.</w:t>
      </w:r>
    </w:p>
    <w:p>
      <w:pPr>
        <w:pStyle w:val="BodyText"/>
      </w:pPr>
      <w:r>
        <w:rPr>
          <w:b/>
          <w:bCs/>
        </w:rPr>
        <w:t xml:space="preserve">Commitment size</w:t>
      </w:r>
      <w:r>
        <w:t xml:space="preserve">: [Specific Hypernova commitment amount and percentage of $65M fund to be filled in based on actual allocation]</w:t>
      </w:r>
    </w:p>
    <w:p>
      <w:pPr>
        <w:pStyle w:val="BodyText"/>
      </w:pPr>
      <w:r>
        <w:rPr>
          <w:b/>
          <w:bCs/>
        </w:rPr>
        <w:t xml:space="preserve">Next steps</w:t>
      </w:r>
      <w:r>
        <w:t xml:space="preserve">:</w:t>
      </w:r>
      <w:r>
        <w:t xml:space="preserve"> </w:t>
      </w:r>
      <w:r>
        <w:t xml:space="preserve">- Ongoing portfolio monitoring through quarterly LP updates and annual meetings</w:t>
      </w:r>
      <w:r>
        <w:t xml:space="preserve"> </w:t>
      </w:r>
      <w:r>
        <w:t xml:space="preserve">- Exercise co-investment rights on high-conviction follow-on opportunities, particularly in Infrastructure and Dev tools sectors aligned with Hypernova thesis</w:t>
      </w:r>
      <w:r>
        <w:t xml:space="preserve"> </w:t>
      </w:r>
      <w:r>
        <w:t xml:space="preserve">- Leverage LP network (</w:t>
      </w:r>
      <w:r>
        <w:rPr>
          <w:b/>
          <w:bCs/>
        </w:rPr>
        <w:t xml:space="preserve">Marc Andreessen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LinkedIn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Sequoia Capital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website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Bain Capital Ventures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website</w:t>
        </w:r>
      </w:hyperlink>
      <w:r>
        <w:t xml:space="preserve">)) for cross-portfolio insights and deal flow</w:t>
      </w:r>
      <w:r>
        <w:t xml:space="preserve"> </w:t>
      </w:r>
      <w:r>
        <w:t xml:space="preserve">- Evaluate Fund IV participation in 2027-2028 based on Fund III deployment execution and early performance signals</w:t>
      </w:r>
      <w:r>
        <w:t xml:space="preserve"> </w:t>
      </w:r>
      <w:r>
        <w:t xml:space="preserve">- Maintain relationship with GPs for potential direct co-investment opportunities and market intelligence in early-stage SaaS/Infrastructure sectors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Memo prepared by: Hypernova Capital Investment Team</w:t>
      </w:r>
      <w:r>
        <w:t xml:space="preserve"> </w:t>
      </w:r>
      <w:r>
        <w:rPr>
          <w:i/>
          <w:iCs/>
        </w:rPr>
        <w:t xml:space="preserve">Date: November 16, 2025</w:t>
      </w:r>
    </w:p>
    <w:bookmarkStart w:id="111" w:name="citations"/>
    <w:p>
      <w:pPr>
        <w:pStyle w:val="Heading3"/>
      </w:pPr>
      <w:r>
        <w:t xml:space="preserve">Citations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$65M Fund III</w:t>
        </w:r>
      </w:hyperlink>
      <w:r>
        <w:t xml:space="preserve">. Published: 2024-07-10 | Updated: 2024-07-10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$65M Fund III</w:t>
        </w:r>
      </w:hyperlink>
      <w:r>
        <w:t xml:space="preserve">. Published: 2024-07-10 | Updated: 2024-07-10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Jan 25.</w:t>
      </w:r>
      <w:r>
        <w:t xml:space="preserve"> </w:t>
      </w:r>
      <w:hyperlink r:id="rId16">
        <w:r>
          <w:rPr>
            <w:rStyle w:val="Hyperlink"/>
          </w:rPr>
          <w:t xml:space="preserve">Kearny Jackson Fund III Launch - Substack</w:t>
        </w:r>
      </w:hyperlink>
      <w:r>
        <w:t xml:space="preserve">. Published: 2023-01-25 | Updated: 2024-07-10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6">
        <w:r>
          <w:rPr>
            <w:rStyle w:val="Hyperlink"/>
          </w:rPr>
          <w:t xml:space="preserve">Kearny Jackson’s $65M Fund III Backed by Marc Andreessen, Sequoia</w:t>
        </w:r>
      </w:hyperlink>
      <w:r>
        <w:t xml:space="preserve">. Published: 2024-07-10 | Updated: 2024-07-10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$65M Fund III</w:t>
        </w:r>
      </w:hyperlink>
      <w:r>
        <w:t xml:space="preserve">. Published: 2024-07-10 | Updated: 2024-07-10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Jan 25.</w:t>
      </w:r>
      <w:r>
        <w:t xml:space="preserve"> </w:t>
      </w:r>
      <w:hyperlink r:id="rId16">
        <w:r>
          <w:rPr>
            <w:rStyle w:val="Hyperlink"/>
          </w:rPr>
          <w:t xml:space="preserve">Kearny Jackson Fund III Launch - Substack</w:t>
        </w:r>
      </w:hyperlink>
      <w:r>
        <w:t xml:space="preserve">. Published: 2023-01-25 | Updated: 2024-07-10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Jan 25.</w:t>
      </w:r>
      <w:r>
        <w:t xml:space="preserve"> </w:t>
      </w:r>
      <w:hyperlink r:id="rId16">
        <w:r>
          <w:rPr>
            <w:rStyle w:val="Hyperlink"/>
          </w:rPr>
          <w:t xml:space="preserve">Kearny Jackson Fund III Launch - Substack</w:t>
        </w:r>
      </w:hyperlink>
      <w:r>
        <w:t xml:space="preserve">. Published: 2023-01-25 | Updated: 2024-07-10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Jan 25.</w:t>
      </w:r>
      <w:r>
        <w:t xml:space="preserve"> </w:t>
      </w:r>
      <w:hyperlink r:id="rId16">
        <w:r>
          <w:rPr>
            <w:rStyle w:val="Hyperlink"/>
          </w:rPr>
          <w:t xml:space="preserve">Kearny Jackson Fund III Launch - Substack</w:t>
        </w:r>
      </w:hyperlink>
      <w:r>
        <w:t xml:space="preserve">. Published: 2023-01-25 | Updated: 2024-07-10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Jan 25.</w:t>
      </w:r>
      <w:r>
        <w:t xml:space="preserve"> </w:t>
      </w:r>
      <w:hyperlink r:id="rId16">
        <w:r>
          <w:rPr>
            <w:rStyle w:val="Hyperlink"/>
          </w:rPr>
          <w:t xml:space="preserve">Kearny Jackson Fund III Launch - Substack</w:t>
        </w:r>
      </w:hyperlink>
      <w:r>
        <w:t xml:space="preserve">. Published: 2023-01-25 | Updated: 2024-07-10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Jan 25.</w:t>
      </w:r>
      <w:r>
        <w:t xml:space="preserve"> </w:t>
      </w:r>
      <w:hyperlink r:id="rId16">
        <w:r>
          <w:rPr>
            <w:rStyle w:val="Hyperlink"/>
          </w:rPr>
          <w:t xml:space="preserve">Kearny Jackson Fund III Launch - Substack</w:t>
        </w:r>
      </w:hyperlink>
      <w:r>
        <w:t xml:space="preserve">. Published: 2023-01-25 | Updated: 2024-07-10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Jan 25.</w:t>
      </w:r>
      <w:r>
        <w:t xml:space="preserve"> </w:t>
      </w:r>
      <w:hyperlink r:id="rId16">
        <w:r>
          <w:rPr>
            <w:rStyle w:val="Hyperlink"/>
          </w:rPr>
          <w:t xml:space="preserve">Kearny Jackson Fund III Launch - Substack</w:t>
        </w:r>
      </w:hyperlink>
      <w:r>
        <w:t xml:space="preserve">. Published: 2023-01-25 | Updated: 2024-07-10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Jan 25.</w:t>
      </w:r>
      <w:r>
        <w:t xml:space="preserve"> </w:t>
      </w:r>
      <w:hyperlink r:id="rId16">
        <w:r>
          <w:rPr>
            <w:rStyle w:val="Hyperlink"/>
          </w:rPr>
          <w:t xml:space="preserve">Kearny Jackson Fund III Launch - Substack</w:t>
        </w:r>
      </w:hyperlink>
      <w:r>
        <w:t xml:space="preserve">. Published: 2023-01-25 | Updated: 2024-07-10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Jan 25.</w:t>
      </w:r>
      <w:r>
        <w:t xml:space="preserve"> </w:t>
      </w:r>
      <w:hyperlink r:id="rId16">
        <w:r>
          <w:rPr>
            <w:rStyle w:val="Hyperlink"/>
          </w:rPr>
          <w:t xml:space="preserve">Kearny Jackson Fund III Launch - Substack</w:t>
        </w:r>
      </w:hyperlink>
      <w:r>
        <w:t xml:space="preserve">. Published: 2023-01-25 | Updated: 2024-07-10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6">
        <w:r>
          <w:rPr>
            <w:rStyle w:val="Hyperlink"/>
          </w:rPr>
          <w:t xml:space="preserve">Kearny Jackson’s $65M Fund III Backed by Marc Andreessen, Sequoia</w:t>
        </w:r>
      </w:hyperlink>
      <w:r>
        <w:t xml:space="preserve">. Published: 2024-07-10 | Updated: 2024-07-10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$65M Fund III</w:t>
        </w:r>
      </w:hyperlink>
      <w:r>
        <w:t xml:space="preserve">. Published: 2024-07-10 | Updated: 2024-07-10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6">
        <w:r>
          <w:rPr>
            <w:rStyle w:val="Hyperlink"/>
          </w:rPr>
          <w:t xml:space="preserve">Kearny Jackson’s $65M Fund III Backed by Marc Andreessen, Sequoia</w:t>
        </w:r>
      </w:hyperlink>
      <w:r>
        <w:t xml:space="preserve">. Published: 2024-07-10 | Updated: 2024-07-10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6">
        <w:r>
          <w:rPr>
            <w:rStyle w:val="Hyperlink"/>
          </w:rPr>
          <w:t xml:space="preserve">Kearny Jackson’s $65M Fund III Backed by Marc Andreessen, Sequoia</w:t>
        </w:r>
      </w:hyperlink>
      <w:r>
        <w:t xml:space="preserve">. Published: 2024-07-10 | Updated: 2024-07-10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Jan 25.</w:t>
      </w:r>
      <w:r>
        <w:t xml:space="preserve"> </w:t>
      </w:r>
      <w:hyperlink r:id="rId16">
        <w:r>
          <w:rPr>
            <w:rStyle w:val="Hyperlink"/>
          </w:rPr>
          <w:t xml:space="preserve">Kearny Jackson Fund III Launch - Substack</w:t>
        </w:r>
      </w:hyperlink>
      <w:r>
        <w:t xml:space="preserve">. Published: 2023-01-25 | Updated: 2024-07-10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Jan 25.</w:t>
      </w:r>
      <w:r>
        <w:t xml:space="preserve"> </w:t>
      </w:r>
      <w:hyperlink r:id="rId16">
        <w:r>
          <w:rPr>
            <w:rStyle w:val="Hyperlink"/>
          </w:rPr>
          <w:t xml:space="preserve">Kearny Jackson Fund III Launch - Substack</w:t>
        </w:r>
      </w:hyperlink>
      <w:r>
        <w:t xml:space="preserve">. Published: 2023-01-25 | Updated: 2024-07-10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2023, Jan 25.</w:t>
      </w:r>
      <w:r>
        <w:t xml:space="preserve"> </w:t>
      </w:r>
      <w:hyperlink r:id="rId16">
        <w:r>
          <w:rPr>
            <w:rStyle w:val="Hyperlink"/>
          </w:rPr>
          <w:t xml:space="preserve">Kearny Jackson Fund III Launch - Substack</w:t>
        </w:r>
      </w:hyperlink>
      <w:r>
        <w:t xml:space="preserve">. Published: 2023-01-25 | Updated: 2024-07-10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10">
        <w:r>
          <w:rPr>
            <w:rStyle w:val="Hyperlink"/>
          </w:rPr>
          <w:t xml:space="preserve">Marc Andreessen, Sequoia again back Kearny Jackson, this time in …</w:t>
        </w:r>
      </w:hyperlink>
      <w:r>
        <w:t xml:space="preserve">. Published: 2024-07-10 | Updated: 2024-07-10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2024, Jul 10.</w:t>
      </w:r>
      <w:r>
        <w:t xml:space="preserve"> </w:t>
      </w:r>
      <w:hyperlink r:id="rId24">
        <w:r>
          <w:rPr>
            <w:rStyle w:val="Hyperlink"/>
          </w:rPr>
          <w:t xml:space="preserve">Kearny Jackson Portfolio Investments, Kearny Jackson Funds</w:t>
        </w:r>
      </w:hyperlink>
      <w:r>
        <w:t xml:space="preserve">. Published: 2024-07-10 | Updated: 2024-07-10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a16z.com" TargetMode="External" /><Relationship Type="http://schemas.openxmlformats.org/officeDocument/2006/relationships/hyperlink" Id="rId65" Target="https://about.gitlab.com" TargetMode="External" /><Relationship Type="http://schemas.openxmlformats.org/officeDocument/2006/relationships/hyperlink" Id="rId77" Target="https://group.softbank/en/about/businesses/sb-vision-fund" TargetMode="External" /><Relationship Type="http://schemas.openxmlformats.org/officeDocument/2006/relationships/hyperlink" Id="rId66" Target="https://linkedin.com/in/andreasehn" TargetMode="External" /><Relationship Type="http://schemas.openxmlformats.org/officeDocument/2006/relationships/hyperlink" Id="rId64" Target="https://linkedin.com/in/eric-johnson-0a2a6015" TargetMode="External" /><Relationship Type="http://schemas.openxmlformats.org/officeDocument/2006/relationships/hyperlink" Id="rId67" Target="https://linkedin.com/in/itai-damti" TargetMode="External" /><Relationship Type="http://schemas.openxmlformats.org/officeDocument/2006/relationships/hyperlink" Id="rId68" Target="https://linkedin.com/in/jeff-horing" TargetMode="External" /><Relationship Type="http://schemas.openxmlformats.org/officeDocument/2006/relationships/hyperlink" Id="rId19" Target="https://linkedin.com/in/marc-andreessen" TargetMode="External" /><Relationship Type="http://schemas.openxmlformats.org/officeDocument/2006/relationships/hyperlink" Id="rId13" Target="https://linkedin.com/in/sriram-krishnan" TargetMode="External" /><Relationship Type="http://schemas.openxmlformats.org/officeDocument/2006/relationships/hyperlink" Id="rId14" Target="https://linkedin.com/in/sunil-chhaya" TargetMode="External" /><Relationship Type="http://schemas.openxmlformats.org/officeDocument/2006/relationships/hyperlink" Id="rId16" Target="https://substack.com/home/post/p-146437836" TargetMode="External" /><Relationship Type="http://schemas.openxmlformats.org/officeDocument/2006/relationships/hyperlink" Id="rId26" Target="https://technews180.com/funding-news/kearny-jackson-65m-fund-iii-backed-by-marc-andreessen-sequoia/" TargetMode="External" /><Relationship Type="http://schemas.openxmlformats.org/officeDocument/2006/relationships/hyperlink" Id="rId28" Target="https://tinder.com" TargetMode="External" /><Relationship Type="http://schemas.openxmlformats.org/officeDocument/2006/relationships/hyperlink" Id="rId35" Target="https://www.adobe.com" TargetMode="External" /><Relationship Type="http://schemas.openxmlformats.org/officeDocument/2006/relationships/hyperlink" Id="rId22" Target="https://www.baincapitalventures.com" TargetMode="External" /><Relationship Type="http://schemas.openxmlformats.org/officeDocument/2006/relationships/hyperlink" Id="rId37" Target="https://www.calm.com" TargetMode="External" /><Relationship Type="http://schemas.openxmlformats.org/officeDocument/2006/relationships/hyperlink" Id="rId24" Target="https://www.cbinsights.com/investor/kearny-jackson-1" TargetMode="External" /><Relationship Type="http://schemas.openxmlformats.org/officeDocument/2006/relationships/hyperlink" Id="rId42" Target="https://www.cortex.com" TargetMode="External" /><Relationship Type="http://schemas.openxmlformats.org/officeDocument/2006/relationships/hyperlink" Id="rId44" Target="https://www.eigenlayer.xyz" TargetMode="External" /><Relationship Type="http://schemas.openxmlformats.org/officeDocument/2006/relationships/hyperlink" Id="rId34" Target="https://www.figma.com" TargetMode="External" /><Relationship Type="http://schemas.openxmlformats.org/officeDocument/2006/relationships/hyperlink" Id="rId88" Target="https://www.fouracrescapital.com" TargetMode="External" /><Relationship Type="http://schemas.openxmlformats.org/officeDocument/2006/relationships/hyperlink" Id="rId69" Target="https://www.insightpartners.com" TargetMode="External" /><Relationship Type="http://schemas.openxmlformats.org/officeDocument/2006/relationships/hyperlink" Id="rId17" Target="https://www.menloventures.com" TargetMode="External" /><Relationship Type="http://schemas.openxmlformats.org/officeDocument/2006/relationships/hyperlink" Id="rId41" Target="https://www.motherduck.com" TargetMode="External" /><Relationship Type="http://schemas.openxmlformats.org/officeDocument/2006/relationships/hyperlink" Id="rId21" Target="https://www.sequoiacap.com" TargetMode="External" /><Relationship Type="http://schemas.openxmlformats.org/officeDocument/2006/relationships/hyperlink" Id="rId36" Target="https://www.sorare.com" TargetMode="External" /><Relationship Type="http://schemas.openxmlformats.org/officeDocument/2006/relationships/hyperlink" Id="rId29" Target="https://www.spotify.com" TargetMode="External" /><Relationship Type="http://schemas.openxmlformats.org/officeDocument/2006/relationships/hyperlink" Id="rId45" Target="https://www.sprig.com" TargetMode="External" /><Relationship Type="http://schemas.openxmlformats.org/officeDocument/2006/relationships/hyperlink" Id="rId10" Target="https://www.techcrunch.com/2024/07/10/marc-andreessen-kearny-jackson-fund-venture-capital/" TargetMode="External" /><Relationship Type="http://schemas.openxmlformats.org/officeDocument/2006/relationships/hyperlink" Id="rId18" Target="https://www.tenayacapital.com" TargetMode="External" /><Relationship Type="http://schemas.openxmlformats.org/officeDocument/2006/relationships/hyperlink" Id="rId43" Target="https://www.unit.c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16z.com" TargetMode="External" /><Relationship Type="http://schemas.openxmlformats.org/officeDocument/2006/relationships/hyperlink" Id="rId65" Target="https://about.gitlab.com" TargetMode="External" /><Relationship Type="http://schemas.openxmlformats.org/officeDocument/2006/relationships/hyperlink" Id="rId77" Target="https://group.softbank/en/about/businesses/sb-vision-fund" TargetMode="External" /><Relationship Type="http://schemas.openxmlformats.org/officeDocument/2006/relationships/hyperlink" Id="rId66" Target="https://linkedin.com/in/andreasehn" TargetMode="External" /><Relationship Type="http://schemas.openxmlformats.org/officeDocument/2006/relationships/hyperlink" Id="rId64" Target="https://linkedin.com/in/eric-johnson-0a2a6015" TargetMode="External" /><Relationship Type="http://schemas.openxmlformats.org/officeDocument/2006/relationships/hyperlink" Id="rId67" Target="https://linkedin.com/in/itai-damti" TargetMode="External" /><Relationship Type="http://schemas.openxmlformats.org/officeDocument/2006/relationships/hyperlink" Id="rId68" Target="https://linkedin.com/in/jeff-horing" TargetMode="External" /><Relationship Type="http://schemas.openxmlformats.org/officeDocument/2006/relationships/hyperlink" Id="rId19" Target="https://linkedin.com/in/marc-andreessen" TargetMode="External" /><Relationship Type="http://schemas.openxmlformats.org/officeDocument/2006/relationships/hyperlink" Id="rId13" Target="https://linkedin.com/in/sriram-krishnan" TargetMode="External" /><Relationship Type="http://schemas.openxmlformats.org/officeDocument/2006/relationships/hyperlink" Id="rId14" Target="https://linkedin.com/in/sunil-chhaya" TargetMode="External" /><Relationship Type="http://schemas.openxmlformats.org/officeDocument/2006/relationships/hyperlink" Id="rId16" Target="https://substack.com/home/post/p-146437836" TargetMode="External" /><Relationship Type="http://schemas.openxmlformats.org/officeDocument/2006/relationships/hyperlink" Id="rId26" Target="https://technews180.com/funding-news/kearny-jackson-65m-fund-iii-backed-by-marc-andreessen-sequoia/" TargetMode="External" /><Relationship Type="http://schemas.openxmlformats.org/officeDocument/2006/relationships/hyperlink" Id="rId28" Target="https://tinder.com" TargetMode="External" /><Relationship Type="http://schemas.openxmlformats.org/officeDocument/2006/relationships/hyperlink" Id="rId35" Target="https://www.adobe.com" TargetMode="External" /><Relationship Type="http://schemas.openxmlformats.org/officeDocument/2006/relationships/hyperlink" Id="rId22" Target="https://www.baincapitalventures.com" TargetMode="External" /><Relationship Type="http://schemas.openxmlformats.org/officeDocument/2006/relationships/hyperlink" Id="rId37" Target="https://www.calm.com" TargetMode="External" /><Relationship Type="http://schemas.openxmlformats.org/officeDocument/2006/relationships/hyperlink" Id="rId24" Target="https://www.cbinsights.com/investor/kearny-jackson-1" TargetMode="External" /><Relationship Type="http://schemas.openxmlformats.org/officeDocument/2006/relationships/hyperlink" Id="rId42" Target="https://www.cortex.com" TargetMode="External" /><Relationship Type="http://schemas.openxmlformats.org/officeDocument/2006/relationships/hyperlink" Id="rId44" Target="https://www.eigenlayer.xyz" TargetMode="External" /><Relationship Type="http://schemas.openxmlformats.org/officeDocument/2006/relationships/hyperlink" Id="rId34" Target="https://www.figma.com" TargetMode="External" /><Relationship Type="http://schemas.openxmlformats.org/officeDocument/2006/relationships/hyperlink" Id="rId88" Target="https://www.fouracrescapital.com" TargetMode="External" /><Relationship Type="http://schemas.openxmlformats.org/officeDocument/2006/relationships/hyperlink" Id="rId69" Target="https://www.insightpartners.com" TargetMode="External" /><Relationship Type="http://schemas.openxmlformats.org/officeDocument/2006/relationships/hyperlink" Id="rId17" Target="https://www.menloventures.com" TargetMode="External" /><Relationship Type="http://schemas.openxmlformats.org/officeDocument/2006/relationships/hyperlink" Id="rId41" Target="https://www.motherduck.com" TargetMode="External" /><Relationship Type="http://schemas.openxmlformats.org/officeDocument/2006/relationships/hyperlink" Id="rId21" Target="https://www.sequoiacap.com" TargetMode="External" /><Relationship Type="http://schemas.openxmlformats.org/officeDocument/2006/relationships/hyperlink" Id="rId36" Target="https://www.sorare.com" TargetMode="External" /><Relationship Type="http://schemas.openxmlformats.org/officeDocument/2006/relationships/hyperlink" Id="rId29" Target="https://www.spotify.com" TargetMode="External" /><Relationship Type="http://schemas.openxmlformats.org/officeDocument/2006/relationships/hyperlink" Id="rId45" Target="https://www.sprig.com" TargetMode="External" /><Relationship Type="http://schemas.openxmlformats.org/officeDocument/2006/relationships/hyperlink" Id="rId10" Target="https://www.techcrunch.com/2024/07/10/marc-andreessen-kearny-jackson-fund-venture-capital/" TargetMode="External" /><Relationship Type="http://schemas.openxmlformats.org/officeDocument/2006/relationships/hyperlink" Id="rId18" Target="https://www.tenayacapital.com" TargetMode="External" /><Relationship Type="http://schemas.openxmlformats.org/officeDocument/2006/relationships/hyperlink" Id="rId43" Target="https://www.unit.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2025-11-17T16:28:48Z</dcterms:created>
  <dcterms:modified xsi:type="dcterms:W3CDTF">2025-11-17T16:28:48Z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