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x-ico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investment-memo-ontra"/>
    <w:p>
      <w:pPr>
        <w:pStyle w:val="Heading1"/>
      </w:pPr>
      <w:r>
        <w:t xml:space="preserve">Investment Memo: Ontra</w:t>
      </w:r>
    </w:p>
    <w:p>
      <w:pPr>
        <w:pStyle w:val="CaptionedFigure"/>
      </w:pPr>
      <w:r>
        <w:drawing>
          <wp:inline>
            <wp:extent cx="406400" cy="406400"/>
            <wp:effectExtent b="0" l="0" r="0" t="0"/>
            <wp:docPr descr="Ontra Logo" title="" id="10" name="Picture"/>
            <a:graphic>
              <a:graphicData uri="http://schemas.openxmlformats.org/drawingml/2006/picture">
                <pic:pic>
                  <pic:nvPicPr>
                    <pic:cNvPr descr="https://www.ontra.ai/favicon.ico" id="11" name="Picture"/>
                    <pic:cNvPicPr>
                      <a:picLocks noChangeArrowheads="1" noChangeAspect="1"/>
                    </pic:cNvPicPr>
                  </pic:nvPicPr>
                  <pic:blipFill>
                    <a:blip r:embed="rId9"/>
                    <a:stretch>
                      <a:fillRect/>
                    </a:stretch>
                  </pic:blipFill>
                  <pic:spPr bwMode="auto">
                    <a:xfrm>
                      <a:off x="0" y="0"/>
                      <a:ext cx="406400" cy="406400"/>
                    </a:xfrm>
                    <a:prstGeom prst="rect">
                      <a:avLst/>
                    </a:prstGeom>
                    <a:noFill/>
                    <a:ln w="9525">
                      <a:noFill/>
                      <a:headEnd/>
                      <a:tailEnd/>
                    </a:ln>
                  </pic:spPr>
                </pic:pic>
              </a:graphicData>
            </a:graphic>
          </wp:inline>
        </w:drawing>
      </w:r>
    </w:p>
    <w:p>
      <w:pPr>
        <w:pStyle w:val="ImageCaption"/>
      </w:pPr>
      <w:r>
        <w:t xml:space="preserve">Ontra Logo</w:t>
      </w:r>
    </w:p>
    <w:bookmarkStart w:id="13" w:name="company-ontra"/>
    <w:p>
      <w:pPr>
        <w:pStyle w:val="Heading2"/>
      </w:pPr>
      <w:r>
        <w:t xml:space="preserve">Company: Ontra</w:t>
      </w:r>
    </w:p>
    <w:p>
      <w:pPr>
        <w:pStyle w:val="FirstParagraph"/>
      </w:pPr>
      <w:r>
        <w:rPr>
          <w:b/>
          <w:bCs/>
        </w:rPr>
        <w:t xml:space="preserve">Stage</w:t>
      </w:r>
      <w:r>
        <w:t xml:space="preserve">: Growth/Scale-up (Post-Series B)</w:t>
      </w:r>
      <w:r>
        <w:br/>
      </w:r>
      <w:r>
        <w:rPr>
          <w:b/>
          <w:bCs/>
        </w:rPr>
        <w:t xml:space="preserve">Location</w:t>
      </w:r>
      <w:r>
        <w:t xml:space="preserve">: San Francisco, California</w:t>
      </w:r>
      <w:r>
        <w:br/>
      </w:r>
      <w:r>
        <w:rPr>
          <w:b/>
          <w:bCs/>
        </w:rPr>
        <w:t xml:space="preserve">Website</w:t>
      </w:r>
      <w:r>
        <w:t xml:space="preserve">:</w:t>
      </w:r>
      <w:r>
        <w:t xml:space="preserve"> </w:t>
      </w:r>
      <w:hyperlink r:id="rId12">
        <w:r>
          <w:rPr>
            <w:rStyle w:val="Hyperlink"/>
          </w:rPr>
          <w:t xml:space="preserve">ontra.ai</w:t>
        </w:r>
      </w:hyperlink>
      <w:r>
        <w:br/>
      </w:r>
      <w:r>
        <w:rPr>
          <w:b/>
          <w:bCs/>
        </w:rPr>
        <w:t xml:space="preserve">Date</w:t>
      </w:r>
      <w:r>
        <w:t xml:space="preserve">: November 2024</w:t>
      </w:r>
    </w:p>
    <w:p>
      <w:r>
        <w:pict>
          <v:rect style="width:0;height:1.5pt" o:hralign="center" o:hrstd="t" o:hr="t"/>
        </w:pict>
      </w:r>
    </w:p>
    <w:bookmarkEnd w:id="13"/>
    <w:bookmarkStart w:id="22" w:name="executive-summary"/>
    <w:p>
      <w:pPr>
        <w:pStyle w:val="Heading2"/>
      </w:pPr>
      <w:r>
        <w:t xml:space="preserve">1. Executive Summary</w:t>
      </w:r>
    </w:p>
    <w:p>
      <w:pPr>
        <w:pStyle w:val="FirstParagraph"/>
      </w:pPr>
      <w:r>
        <w:t xml:space="preserve">Ontra is an AI-powered legal operating system serving 800+ private markets firms, having processed 2M+ contracts since its founding circa 2014</w:t>
      </w:r>
      <w:r>
        <w:rPr>
          <w:rStyle w:val="FootnoteReference"/>
        </w:rPr>
        <w:footnoteReference w:id="14"/>
      </w:r>
      <w:r>
        <w:rPr>
          <w:rStyle w:val="FootnoteReference"/>
        </w:rPr>
        <w:footnoteReference w:id="15"/>
      </w:r>
      <w:r>
        <w:t xml:space="preserve">. The company raised a $200M Series B led by</w:t>
      </w:r>
      <w:r>
        <w:t xml:space="preserve"> </w:t>
      </w:r>
      <w:r>
        <w:rPr>
          <w:b/>
          <w:bCs/>
        </w:rPr>
        <w:t xml:space="preserve">Blackstone</w:t>
      </w:r>
      <w:r>
        <w:t xml:space="preserve"> </w:t>
      </w:r>
      <w:r>
        <w:t xml:space="preserve">(</w:t>
      </w:r>
      <w:hyperlink r:id="rId17">
        <w:r>
          <w:rPr>
            <w:rStyle w:val="Hyperlink"/>
          </w:rPr>
          <w:t xml:space="preserve">website</w:t>
        </w:r>
      </w:hyperlink>
      <w:r>
        <w:t xml:space="preserve">) after bootstrapping for five years, signaling strong validation from a sophisticated private markets investor with direct insight into customer pain points</w:t>
      </w:r>
      <w:r>
        <w:rPr>
          <w:rStyle w:val="FootnoteReference"/>
        </w:rPr>
        <w:footnoteReference w:id="18"/>
      </w:r>
      <w:r>
        <w:t xml:space="preserve">.</w:t>
      </w:r>
    </w:p>
    <w:p>
      <w:pPr>
        <w:pStyle w:val="BodyText"/>
      </w:pPr>
      <w:r>
        <w:t xml:space="preserve">The investment case centers on Ontra’s defensible position in legal workflow automation for private capital, built on a proprietary dataset of 1.5M+ private market contracts and a network of 600+ legal professionals</w:t>
      </w:r>
      <w:r>
        <w:rPr>
          <w:rStyle w:val="FootnoteReference"/>
        </w:rPr>
        <w:footnoteReference w:id="19"/>
      </w:r>
      <w:r>
        <w:rPr>
          <w:rStyle w:val="FootnoteReference"/>
        </w:rPr>
        <w:footnoteReference w:id="20"/>
      </w:r>
      <w:r>
        <w:t xml:space="preserve">. Recent executive hires from Amplitude and AppFolio indicate aggressive scaling, while product expansion (Accord, Atlas, Insight for Credit) demonstrates platform breadth beyond initial NDA automation.</w:t>
      </w:r>
    </w:p>
    <w:p>
      <w:pPr>
        <w:pStyle w:val="BodyText"/>
      </w:pPr>
      <w:r>
        <w:t xml:space="preserve">Key risks include limited visibility into unit economics, competitive pressure from established legal tech players and AI-native startups, and dependency on private markets activity levels. The company appears past primary venture stage given 10-year operating history and $270M+ raised, suggesting this opportunity may be more relevant for growth equity or public market investors than early-stage venture</w:t>
      </w:r>
      <w:r>
        <w:rPr>
          <w:rStyle w:val="FootnoteReference"/>
        </w:rPr>
        <w:footnoteReference w:id="21"/>
      </w:r>
      <w:r>
        <w:t xml:space="preserve">.</w:t>
      </w:r>
    </w:p>
    <w:p>
      <w:r>
        <w:pict>
          <v:rect style="width:0;height:1.5pt" o:hralign="center" o:hrstd="t" o:hr="t"/>
        </w:pict>
      </w:r>
    </w:p>
    <w:bookmarkEnd w:id="22"/>
    <w:bookmarkStart w:id="42" w:name="business-overview"/>
    <w:p>
      <w:pPr>
        <w:pStyle w:val="Heading2"/>
      </w:pPr>
      <w:r>
        <w:t xml:space="preserve">2. Business Overview</w:t>
      </w:r>
    </w:p>
    <w:p>
      <w:pPr>
        <w:pStyle w:val="FirstParagraph"/>
      </w:pPr>
      <w:r>
        <w:rPr>
          <w:b/>
          <w:bCs/>
        </w:rPr>
        <w:t xml:space="preserve">What they do</w:t>
      </w:r>
      <w:r>
        <w:t xml:space="preserve">: Ontra provides AI-powered contract management, fund compliance, and entity management software for private equity firms, asset managers, and private capital investment firms</w:t>
      </w:r>
      <w:r>
        <w:rPr>
          <w:rStyle w:val="FootnoteReference"/>
        </w:rPr>
        <w:footnoteReference w:id="23"/>
      </w:r>
      <w:r>
        <w:rPr>
          <w:rStyle w:val="FootnoteReference"/>
        </w:rPr>
        <w:footnoteReference w:id="25"/>
      </w:r>
      <w:r>
        <w:rPr>
          <w:rStyle w:val="FootnoteReference"/>
        </w:rPr>
        <w:footnoteReference w:id="26"/>
      </w:r>
      <w:r>
        <w:t xml:space="preserve">.</w:t>
      </w:r>
    </w:p>
    <w:p>
      <w:pPr>
        <w:pStyle w:val="BodyText"/>
      </w:pPr>
      <w:r>
        <w:rPr>
          <w:b/>
          <w:bCs/>
        </w:rPr>
        <w:t xml:space="preserve">Problem they solve</w:t>
      </w:r>
      <w:r>
        <w:t xml:space="preserve">: Private markets legal workflows—particularly high-volume contract processing, fund compliance monitoring, and entity management—have historically been manual, time-intensive, and error-prone. Founder</w:t>
      </w:r>
      <w:r>
        <w:t xml:space="preserve"> </w:t>
      </w:r>
      <w:r>
        <w:rPr>
          <w:b/>
          <w:bCs/>
        </w:rPr>
        <w:t xml:space="preserve">Troy Pospisil</w:t>
      </w:r>
      <w:r>
        <w:t xml:space="preserve"> </w:t>
      </w:r>
      <w:r>
        <w:t xml:space="preserve">(</w:t>
      </w:r>
      <w:hyperlink r:id="rId27">
        <w:r>
          <w:rPr>
            <w:rStyle w:val="Hyperlink"/>
          </w:rPr>
          <w:t xml:space="preserve">LinkedIn</w:t>
        </w:r>
      </w:hyperlink>
      <w:r>
        <w:t xml:space="preserve">) identified this pain point while working in private equity, where processing NDAs and side letters consumed significant legal resources</w:t>
      </w:r>
      <w:r>
        <w:rPr>
          <w:rStyle w:val="FootnoteReference"/>
        </w:rPr>
        <w:footnoteReference w:id="28"/>
      </w:r>
      <w:r>
        <w:rPr>
          <w:rStyle w:val="FootnoteReference"/>
        </w:rPr>
        <w:footnoteReference w:id="30"/>
      </w:r>
      <w:r>
        <w:t xml:space="preserve">. Traditional law firms charge hourly rates for repetitive contract work, creating misaligned incentives and high costs for routine transactions.</w:t>
      </w:r>
    </w:p>
    <w:p>
      <w:pPr>
        <w:pStyle w:val="BodyText"/>
      </w:pPr>
      <w:r>
        <w:rPr>
          <w:b/>
          <w:bCs/>
        </w:rPr>
        <w:t xml:space="preserve">Solution approach</w:t>
      </w:r>
      <w:r>
        <w:t xml:space="preserve">: Ontra combines proprietary machine learning models, industry-leading LLMs, and a dataset of 1.5M+ private market contracts to automate contract analysis, negotiation, and compliance workflows</w:t>
      </w:r>
      <w:r>
        <w:rPr>
          <w:rStyle w:val="FootnoteReference"/>
        </w:rPr>
        <w:footnoteReference w:id="31"/>
      </w:r>
      <w:r>
        <w:rPr>
          <w:rStyle w:val="FootnoteReference"/>
        </w:rPr>
        <w:footnoteReference w:id="32"/>
      </w:r>
      <w:r>
        <w:t xml:space="preserve">. The platform integrates with a global Legal Network of 600+ legal professionals for complex matters requiring human expertise, creating a hybrid AI-human model</w:t>
      </w:r>
      <w:r>
        <w:rPr>
          <w:rStyle w:val="FootnoteReference"/>
        </w:rPr>
        <w:footnoteReference w:id="33"/>
      </w:r>
      <w:r>
        <w:rPr>
          <w:rStyle w:val="FootnoteReference"/>
        </w:rPr>
        <w:footnoteReference w:id="34"/>
      </w:r>
      <w:r>
        <w:t xml:space="preserve">. Core products span the fund lifecycle: Insight (analytics), Accord (AI contract negotiation), Atlas (entity management with automated CTA filing), and specialized solutions for credit, DDQ, and KYC workflows</w:t>
      </w:r>
      <w:r>
        <w:rPr>
          <w:rStyle w:val="FootnoteReference"/>
        </w:rPr>
        <w:footnoteReference w:id="35"/>
      </w:r>
      <w:r>
        <w:rPr>
          <w:rStyle w:val="FootnoteReference"/>
        </w:rPr>
        <w:footnoteReference w:id="37"/>
      </w:r>
      <w:r>
        <w:rPr>
          <w:rStyle w:val="FootnoteReference"/>
        </w:rPr>
        <w:footnoteReference w:id="38"/>
      </w:r>
      <w:r>
        <w:t xml:space="preserve">.</w:t>
      </w:r>
    </w:p>
    <w:p>
      <w:pPr>
        <w:pStyle w:val="BodyText"/>
      </w:pPr>
      <w:r>
        <w:rPr>
          <w:b/>
          <w:bCs/>
        </w:rPr>
        <w:t xml:space="preserve">Business model</w:t>
      </w:r>
      <w:r>
        <w:t xml:space="preserve">: Likely SaaS subscription model based on firm size and contract volume, though specific pricing not disclosed</w:t>
      </w:r>
      <w:r>
        <w:rPr>
          <w:rStyle w:val="FootnoteReference"/>
        </w:rPr>
        <w:footnoteReference w:id="40"/>
      </w:r>
      <w:r>
        <w:t xml:space="preserve">. Revenue streams appear to include platform subscriptions, transaction-based fees for Legal Network services, and potentially usage-based pricing for AI-powered features</w:t>
      </w:r>
      <w:r>
        <w:rPr>
          <w:rStyle w:val="FootnoteReference"/>
        </w:rPr>
        <w:footnoteReference w:id="41"/>
      </w:r>
      <w:r>
        <w:t xml:space="preserve">. The FundFormer acquisition suggests expansion into subscription document management, adding another potential revenue stream.</w:t>
      </w:r>
    </w:p>
    <w:p>
      <w:r>
        <w:pict>
          <v:rect style="width:0;height:1.5pt" o:hralign="center" o:hrstd="t" o:hr="t"/>
        </w:pict>
      </w:r>
    </w:p>
    <w:bookmarkEnd w:id="42"/>
    <w:bookmarkStart w:id="54" w:name="market-context"/>
    <w:p>
      <w:pPr>
        <w:pStyle w:val="Heading2"/>
      </w:pPr>
      <w:r>
        <w:t xml:space="preserve">3. Market Context</w:t>
      </w:r>
    </w:p>
    <w:p>
      <w:pPr>
        <w:pStyle w:val="FirstParagraph"/>
      </w:pPr>
      <w:r>
        <w:rPr>
          <w:b/>
          <w:bCs/>
        </w:rPr>
        <w:t xml:space="preserve">Total Addressable Market (TAM)</w:t>
      </w:r>
      <w:r>
        <w:t xml:space="preserve">: Specific market size data not available in research. The addressable market includes legal technology spend by private equity firms, venture capital firms, hedge funds, and asset managers globally. Adjacent markets include contract lifecycle management software ($2.1B in 2023, Grand View Research) and legal process outsourcing ($15.8B in 2023, growing at 30% CAGR through 2030, Market Research Future), though Ontra’s focus on private markets represents a specialized subset</w:t>
      </w:r>
      <w:r>
        <w:rPr>
          <w:rStyle w:val="FootnoteReference"/>
        </w:rPr>
        <w:footnoteReference w:id="43"/>
      </w:r>
      <w:r>
        <w:t xml:space="preserve">.</w:t>
      </w:r>
    </w:p>
    <w:p>
      <w:pPr>
        <w:pStyle w:val="BodyText"/>
      </w:pPr>
      <w:r>
        <w:rPr>
          <w:b/>
          <w:bCs/>
        </w:rPr>
        <w:t xml:space="preserve">Market dynamics</w:t>
      </w:r>
      <w:r>
        <w:t xml:space="preserve">:</w:t>
      </w:r>
      <w:r>
        <w:t xml:space="preserve"> </w:t>
      </w:r>
      <w:r>
        <w:t xml:space="preserve">-</w:t>
      </w:r>
      <w:r>
        <w:t xml:space="preserve"> </w:t>
      </w:r>
      <w:r>
        <w:rPr>
          <w:b/>
          <w:bCs/>
        </w:rPr>
        <w:t xml:space="preserve">Private markets growth</w:t>
      </w:r>
      <w:r>
        <w:t xml:space="preserve">: Global private equity AUM reached $8.2T in 2023 (McKinsey), with fund formation and portfolio company transactions generating continuous legal workflow demand</w:t>
      </w:r>
      <w:r>
        <w:t xml:space="preserve"> </w:t>
      </w:r>
      <w:r>
        <w:t xml:space="preserve">-</w:t>
      </w:r>
      <w:r>
        <w:t xml:space="preserve"> </w:t>
      </w:r>
      <w:r>
        <w:rPr>
          <w:b/>
          <w:bCs/>
        </w:rPr>
        <w:t xml:space="preserve">AI adoption in legal tech</w:t>
      </w:r>
      <w:r>
        <w:t xml:space="preserve">: Named</w:t>
      </w:r>
      <w:r>
        <w:t xml:space="preserve"> </w:t>
      </w:r>
      <w:r>
        <w:t xml:space="preserve">“LegalTech AI Company of the Year”</w:t>
      </w:r>
      <w:r>
        <w:t xml:space="preserve"> </w:t>
      </w:r>
      <w:r>
        <w:t xml:space="preserve">2024 by LegalTech Breakthrough Awards, reflecting broader industry shift toward AI-powered solutions</w:t>
      </w:r>
      <w:r>
        <w:rPr>
          <w:rStyle w:val="FootnoteReference"/>
        </w:rPr>
        <w:footnoteReference w:id="44"/>
      </w:r>
      <w:r>
        <w:t xml:space="preserve"> </w:t>
      </w:r>
      <w:r>
        <w:t xml:space="preserve">-</w:t>
      </w:r>
      <w:r>
        <w:t xml:space="preserve"> </w:t>
      </w:r>
      <w:r>
        <w:rPr>
          <w:b/>
          <w:bCs/>
        </w:rPr>
        <w:t xml:space="preserve">Regulatory complexity</w:t>
      </w:r>
      <w:r>
        <w:t xml:space="preserve">: Increasing compliance requirements (e.g., Corporate Transparency Act requiring beneficial ownership reporting) create demand for automated compliance solutions like Ontra’s Atlas product</w:t>
      </w:r>
      <w:r>
        <w:rPr>
          <w:rStyle w:val="FootnoteReference"/>
        </w:rPr>
        <w:footnoteReference w:id="45"/>
      </w:r>
      <w:r>
        <w:t xml:space="preserve"> </w:t>
      </w:r>
      <w:r>
        <w:t xml:space="preserve">-</w:t>
      </w:r>
      <w:r>
        <w:t xml:space="preserve"> </w:t>
      </w:r>
      <w:r>
        <w:rPr>
          <w:b/>
          <w:bCs/>
        </w:rPr>
        <w:t xml:space="preserve">Shift from hourly billing</w:t>
      </w:r>
      <w:r>
        <w:t xml:space="preserve">: Private markets firms increasingly seeking alternative fee arrangements and technology-enabled legal services to reduce costs on routine work</w:t>
      </w:r>
    </w:p>
    <w:p>
      <w:pPr>
        <w:pStyle w:val="BodyText"/>
      </w:pPr>
      <w:r>
        <w:rPr>
          <w:b/>
          <w:bCs/>
        </w:rPr>
        <w:t xml:space="preserve">Competitive landscape</w:t>
      </w:r>
      <w:r>
        <w:t xml:space="preserve">:</w:t>
      </w:r>
    </w:p>
    <w:tbl>
      <w:tblPr>
        <w:tblStyle w:val="Table"/>
        <w:tblW w:type="pct" w:w="5000"/>
        <w:tblLayout w:type="fixed"/>
        <w:tblLook w:firstRow="1" w:lastRow="0" w:firstColumn="0" w:lastColumn="0" w:noHBand="0" w:noVBand="0" w:val="0020"/>
      </w:tblPr>
      <w:tblGrid>
        <w:gridCol w:w="1860"/>
        <w:gridCol w:w="2700"/>
        <w:gridCol w:w="1140"/>
        <w:gridCol w:w="2220"/>
      </w:tblGrid>
      <w:tr>
        <w:trPr>
          <w:tblHeader w:val="on"/>
        </w:trPr>
        <w:tc>
          <w:tcPr/>
          <w:p>
            <w:pPr>
              <w:pStyle w:val="Compact"/>
            </w:pPr>
            <w:r>
              <w:t xml:space="preserve">Company</w:t>
            </w:r>
          </w:p>
        </w:tc>
        <w:tc>
          <w:tcPr/>
          <w:p>
            <w:pPr>
              <w:pStyle w:val="Compact"/>
            </w:pPr>
            <w:r>
              <w:t xml:space="preserve">Offering</w:t>
            </w:r>
          </w:p>
        </w:tc>
        <w:tc>
          <w:tcPr/>
          <w:p>
            <w:pPr>
              <w:pStyle w:val="Compact"/>
            </w:pPr>
            <w:r>
              <w:t xml:space="preserve">Funding</w:t>
            </w:r>
          </w:p>
        </w:tc>
        <w:tc>
          <w:tcPr/>
          <w:p>
            <w:pPr>
              <w:pStyle w:val="Compact"/>
            </w:pPr>
            <w:r>
              <w:t xml:space="preserve">Focus</w:t>
            </w:r>
          </w:p>
        </w:tc>
      </w:tr>
      <w:tr>
        <w:tc>
          <w:tcPr/>
          <w:p>
            <w:pPr>
              <w:pStyle w:val="Compact"/>
            </w:pPr>
            <w:r>
              <w:rPr>
                <w:b/>
                <w:bCs/>
              </w:rPr>
              <w:t xml:space="preserve">Ironclad</w:t>
            </w:r>
            <w:r>
              <w:t xml:space="preserve"> </w:t>
            </w:r>
            <w:r>
              <w:t xml:space="preserve">(</w:t>
            </w:r>
            <w:hyperlink r:id="rId46">
              <w:r>
                <w:rPr>
                  <w:rStyle w:val="Hyperlink"/>
                </w:rPr>
                <w:t xml:space="preserve">website</w:t>
              </w:r>
            </w:hyperlink>
            <w:r>
              <w:t xml:space="preserve">)</w:t>
            </w:r>
          </w:p>
        </w:tc>
        <w:tc>
          <w:tcPr/>
          <w:p>
            <w:pPr>
              <w:pStyle w:val="Compact"/>
            </w:pPr>
            <w:r>
              <w:t xml:space="preserve">Contract lifecycle management</w:t>
            </w:r>
          </w:p>
        </w:tc>
        <w:tc>
          <w:tcPr/>
          <w:p>
            <w:pPr>
              <w:pStyle w:val="Compact"/>
            </w:pPr>
            <w:r>
              <w:t xml:space="preserve">$150M Series E</w:t>
            </w:r>
          </w:p>
        </w:tc>
        <w:tc>
          <w:tcPr/>
          <w:p>
            <w:pPr>
              <w:pStyle w:val="Compact"/>
            </w:pPr>
            <w:r>
              <w:t xml:space="preserve">Broader enterprise + some PE</w:t>
            </w:r>
          </w:p>
        </w:tc>
      </w:tr>
      <w:tr>
        <w:tc>
          <w:tcPr/>
          <w:p>
            <w:pPr>
              <w:pStyle w:val="Compact"/>
            </w:pPr>
            <w:r>
              <w:rPr>
                <w:b/>
                <w:bCs/>
              </w:rPr>
              <w:t xml:space="preserve">LinkSquares</w:t>
            </w:r>
            <w:r>
              <w:t xml:space="preserve"> </w:t>
            </w:r>
            <w:r>
              <w:t xml:space="preserve">(</w:t>
            </w:r>
            <w:hyperlink r:id="rId47">
              <w:r>
                <w:rPr>
                  <w:rStyle w:val="Hyperlink"/>
                </w:rPr>
                <w:t xml:space="preserve">website</w:t>
              </w:r>
            </w:hyperlink>
            <w:r>
              <w:t xml:space="preserve">)</w:t>
            </w:r>
          </w:p>
        </w:tc>
        <w:tc>
          <w:tcPr/>
          <w:p>
            <w:pPr>
              <w:pStyle w:val="Compact"/>
            </w:pPr>
            <w:r>
              <w:t xml:space="preserve">AI-powered contract management</w:t>
            </w:r>
          </w:p>
        </w:tc>
        <w:tc>
          <w:tcPr/>
          <w:p>
            <w:pPr>
              <w:pStyle w:val="Compact"/>
            </w:pPr>
            <w:r>
              <w:t xml:space="preserve">$100M Series C</w:t>
            </w:r>
          </w:p>
        </w:tc>
        <w:tc>
          <w:tcPr/>
          <w:p>
            <w:pPr>
              <w:pStyle w:val="Compact"/>
            </w:pPr>
            <w:r>
              <w:t xml:space="preserve">In-house legal teams</w:t>
            </w:r>
          </w:p>
        </w:tc>
      </w:tr>
      <w:tr>
        <w:tc>
          <w:tcPr/>
          <w:p>
            <w:pPr>
              <w:pStyle w:val="Compact"/>
            </w:pPr>
            <w:r>
              <w:rPr>
                <w:b/>
                <w:bCs/>
              </w:rPr>
              <w:t xml:space="preserve">Evisort</w:t>
            </w:r>
            <w:r>
              <w:t xml:space="preserve"> </w:t>
            </w:r>
            <w:r>
              <w:t xml:space="preserve">(</w:t>
            </w:r>
            <w:hyperlink r:id="rId48">
              <w:r>
                <w:rPr>
                  <w:rStyle w:val="Hyperlink"/>
                </w:rPr>
                <w:t xml:space="preserve">website</w:t>
              </w:r>
            </w:hyperlink>
            <w:r>
              <w:t xml:space="preserve">)</w:t>
            </w:r>
          </w:p>
        </w:tc>
        <w:tc>
          <w:tcPr/>
          <w:p>
            <w:pPr>
              <w:pStyle w:val="Compact"/>
            </w:pPr>
            <w:r>
              <w:t xml:space="preserve">Contract intelligence/AI extraction</w:t>
            </w:r>
          </w:p>
        </w:tc>
        <w:tc>
          <w:tcPr/>
          <w:p>
            <w:pPr>
              <w:pStyle w:val="Compact"/>
            </w:pPr>
            <w:r>
              <w:t xml:space="preserve">$100M Series C</w:t>
            </w:r>
          </w:p>
        </w:tc>
        <w:tc>
          <w:tcPr/>
          <w:p>
            <w:pPr>
              <w:pStyle w:val="Compact"/>
            </w:pPr>
            <w:r>
              <w:t xml:space="preserve">General enterprise</w:t>
            </w:r>
          </w:p>
        </w:tc>
      </w:tr>
      <w:tr>
        <w:tc>
          <w:tcPr/>
          <w:p>
            <w:pPr>
              <w:pStyle w:val="Compact"/>
            </w:pPr>
            <w:r>
              <w:t xml:space="preserve">Traditional law firms</w:t>
            </w:r>
          </w:p>
        </w:tc>
        <w:tc>
          <w:tcPr/>
          <w:p>
            <w:pPr>
              <w:pStyle w:val="Compact"/>
            </w:pPr>
            <w:r>
              <w:t xml:space="preserve">Manual/outsourced contract mgmt.</w:t>
            </w:r>
          </w:p>
        </w:tc>
        <w:tc>
          <w:tcPr/>
          <w:p>
            <w:pPr>
              <w:pStyle w:val="Compact"/>
            </w:pPr>
            <w:r>
              <w:t xml:space="preserve">-</w:t>
            </w:r>
          </w:p>
        </w:tc>
        <w:tc>
          <w:tcPr/>
          <w:p>
            <w:pPr>
              <w:pStyle w:val="Compact"/>
            </w:pPr>
            <w:r>
              <w:t xml:space="preserve">Law services</w:t>
            </w:r>
          </w:p>
        </w:tc>
      </w:tr>
      <w:tr>
        <w:tc>
          <w:tcPr/>
          <w:p>
            <w:pPr>
              <w:pStyle w:val="Compact"/>
            </w:pPr>
            <w:r>
              <w:rPr>
                <w:b/>
                <w:bCs/>
              </w:rPr>
              <w:t xml:space="preserve">Agiloft</w:t>
            </w:r>
            <w:r>
              <w:t xml:space="preserve"> </w:t>
            </w:r>
            <w:r>
              <w:t xml:space="preserve">(</w:t>
            </w:r>
            <w:hyperlink r:id="rId49">
              <w:r>
                <w:rPr>
                  <w:rStyle w:val="Hyperlink"/>
                </w:rPr>
                <w:t xml:space="preserve">website</w:t>
              </w:r>
            </w:hyperlink>
            <w:r>
              <w:t xml:space="preserve">),</w:t>
            </w:r>
            <w:r>
              <w:t xml:space="preserve"> </w:t>
            </w:r>
            <w:r>
              <w:rPr>
                <w:b/>
                <w:bCs/>
              </w:rPr>
              <w:t xml:space="preserve">Icertis</w:t>
            </w:r>
            <w:r>
              <w:t xml:space="preserve"> </w:t>
            </w:r>
            <w:r>
              <w:t xml:space="preserve">(</w:t>
            </w:r>
            <w:hyperlink r:id="rId50">
              <w:r>
                <w:rPr>
                  <w:rStyle w:val="Hyperlink"/>
                </w:rPr>
                <w:t xml:space="preserve">website</w:t>
              </w:r>
            </w:hyperlink>
            <w:r>
              <w:t xml:space="preserve">),</w:t>
            </w:r>
            <w:r>
              <w:t xml:space="preserve"> </w:t>
            </w:r>
            <w:r>
              <w:rPr>
                <w:b/>
                <w:bCs/>
              </w:rPr>
              <w:t xml:space="preserve">DocuSign CLM</w:t>
            </w:r>
            <w:r>
              <w:t xml:space="preserve"> </w:t>
            </w:r>
            <w:r>
              <w:t xml:space="preserve">(</w:t>
            </w:r>
            <w:hyperlink r:id="rId51">
              <w:r>
                <w:rPr>
                  <w:rStyle w:val="Hyperlink"/>
                </w:rPr>
                <w:t xml:space="preserve">website</w:t>
              </w:r>
            </w:hyperlink>
            <w:r>
              <w:t xml:space="preserve">)</w:t>
            </w:r>
          </w:p>
        </w:tc>
        <w:tc>
          <w:tcPr/>
          <w:p>
            <w:pPr>
              <w:pStyle w:val="Compact"/>
            </w:pPr>
            <w:r>
              <w:t xml:space="preserve">General-purpose CLM</w:t>
            </w:r>
          </w:p>
        </w:tc>
        <w:tc>
          <w:tcPr/>
          <w:p>
            <w:pPr>
              <w:pStyle w:val="Compact"/>
            </w:pPr>
            <w:r>
              <w:t xml:space="preserve">-</w:t>
            </w:r>
          </w:p>
        </w:tc>
        <w:tc>
          <w:tcPr/>
          <w:p>
            <w:pPr>
              <w:pStyle w:val="Compact"/>
            </w:pPr>
            <w:r>
              <w:t xml:space="preserve">Cross-industry CLM</w:t>
            </w:r>
          </w:p>
        </w:tc>
      </w:tr>
    </w:tbl>
    <w:p>
      <w:pPr>
        <w:pStyle w:val="BodyText"/>
      </w:pPr>
      <w:r>
        <w:rPr>
          <w:b/>
          <w:bCs/>
        </w:rPr>
        <w:t xml:space="preserve">Differentiation</w:t>
      </w:r>
      <w:r>
        <w:t xml:space="preserve">: Ontra’s proprietary dataset of 1.5M+ private market contracts provides domain-specific training data that general CLM platforms lack. The Legal Network hybrid model bridges gaps where pure software solutions fail. Deep specialization in private markets workflows (fund formation, side letters, entity management) creates switching costs versus horizontal CLM tools</w:t>
      </w:r>
      <w:r>
        <w:rPr>
          <w:rStyle w:val="FootnoteReference"/>
        </w:rPr>
        <w:footnoteReference w:id="52"/>
      </w:r>
      <w:r>
        <w:rPr>
          <w:rStyle w:val="FootnoteReference"/>
        </w:rPr>
        <w:footnoteReference w:id="53"/>
      </w:r>
      <w:r>
        <w:t xml:space="preserve">.</w:t>
      </w:r>
    </w:p>
    <w:p>
      <w:r>
        <w:pict>
          <v:rect style="width:0;height:1.5pt" o:hralign="center" o:hrstd="t" o:hr="t"/>
        </w:pict>
      </w:r>
    </w:p>
    <w:bookmarkEnd w:id="54"/>
    <w:bookmarkStart w:id="71" w:name="technology-product"/>
    <w:p>
      <w:pPr>
        <w:pStyle w:val="Heading2"/>
      </w:pPr>
      <w:r>
        <w:t xml:space="preserve">4. Technology &amp; Product</w:t>
      </w:r>
    </w:p>
    <w:p>
      <w:pPr>
        <w:pStyle w:val="FirstParagraph"/>
      </w:pPr>
      <w:r>
        <w:rPr>
          <w:b/>
          <w:bCs/>
        </w:rPr>
        <w:t xml:space="preserve">Technical approach</w:t>
      </w:r>
      <w:r>
        <w:t xml:space="preserve">: Platform leverages proprietary machine learning models trained on 1.5M+ private market contracts, integrated with industry-leading LLMs (likely GPT-4, Claude, or similar)</w:t>
      </w:r>
      <w:r>
        <w:rPr>
          <w:rStyle w:val="FootnoteReference"/>
        </w:rPr>
        <w:footnoteReference w:id="55"/>
      </w:r>
      <w:r>
        <w:t xml:space="preserve">. The combination of domain-specific training data and general-purpose LLMs enables both specialized contract analysis for private markets instruments and broader document understanding</w:t>
      </w:r>
      <w:r>
        <w:rPr>
          <w:rStyle w:val="FootnoteReference"/>
        </w:rPr>
        <w:footnoteReference w:id="56"/>
      </w:r>
      <w:r>
        <w:rPr>
          <w:rStyle w:val="FootnoteReference"/>
        </w:rPr>
        <w:footnoteReference w:id="57"/>
      </w:r>
      <w:r>
        <w:t xml:space="preserve">. Architecture appears to support multiple product lines on shared infrastructure, suggesting platform scalability</w:t>
      </w:r>
      <w:r>
        <w:rPr>
          <w:rStyle w:val="FootnoteReference"/>
        </w:rPr>
        <w:footnoteReference w:id="58"/>
      </w:r>
      <w:r>
        <w:t xml:space="preserve">.</w:t>
      </w:r>
    </w:p>
    <w:p>
      <w:pPr>
        <w:pStyle w:val="BodyText"/>
      </w:pPr>
      <w:r>
        <w:rPr>
          <w:b/>
          <w:bCs/>
        </w:rPr>
        <w:t xml:space="preserve">Current product</w:t>
      </w:r>
      <w:r>
        <w:t xml:space="preserve">: Five core products in commercial deployment:</w:t>
      </w:r>
      <w:r>
        <w:t xml:space="preserve"> </w:t>
      </w:r>
      <w:r>
        <w:t xml:space="preserve">-</w:t>
      </w:r>
      <w:r>
        <w:t xml:space="preserve"> </w:t>
      </w:r>
      <w:r>
        <w:rPr>
          <w:b/>
          <w:bCs/>
        </w:rPr>
        <w:t xml:space="preserve">Insight</w:t>
      </w:r>
      <w:r>
        <w:t xml:space="preserve">: Analytics platform providing visibility into contract portfolios, fund terms, and compliance obligations</w:t>
      </w:r>
      <w:r>
        <w:rPr>
          <w:rStyle w:val="FootnoteReference"/>
        </w:rPr>
        <w:footnoteReference w:id="59"/>
      </w:r>
      <w:r>
        <w:t xml:space="preserve"> </w:t>
      </w:r>
      <w:r>
        <w:t xml:space="preserve">-</w:t>
      </w:r>
      <w:r>
        <w:t xml:space="preserve"> </w:t>
      </w:r>
      <w:r>
        <w:rPr>
          <w:b/>
          <w:bCs/>
        </w:rPr>
        <w:t xml:space="preserve">Accord</w:t>
      </w:r>
      <w:r>
        <w:t xml:space="preserve">: AI-powered contract negotiation tool automating redline review and clause analysis</w:t>
      </w:r>
      <w:r>
        <w:rPr>
          <w:rStyle w:val="FootnoteReference"/>
        </w:rPr>
        <w:footnoteReference w:id="60"/>
      </w:r>
      <w:r>
        <w:t xml:space="preserve"> </w:t>
      </w:r>
      <w:r>
        <w:t xml:space="preserve">-</w:t>
      </w:r>
      <w:r>
        <w:t xml:space="preserve"> </w:t>
      </w:r>
      <w:r>
        <w:rPr>
          <w:b/>
          <w:bCs/>
        </w:rPr>
        <w:t xml:space="preserve">Atlas</w:t>
      </w:r>
      <w:r>
        <w:t xml:space="preserve">: Entity management platform with automated Corporate Transparency Act (CTA) filing capability (launched October 2024)</w:t>
      </w:r>
      <w:r>
        <w:rPr>
          <w:rStyle w:val="FootnoteReference"/>
        </w:rPr>
        <w:footnoteReference w:id="61"/>
      </w:r>
      <w:r>
        <w:t xml:space="preserve"> </w:t>
      </w:r>
      <w:r>
        <w:t xml:space="preserve">-</w:t>
      </w:r>
      <w:r>
        <w:t xml:space="preserve"> </w:t>
      </w:r>
      <w:r>
        <w:rPr>
          <w:b/>
          <w:bCs/>
        </w:rPr>
        <w:t xml:space="preserve">Insight for Credit</w:t>
      </w:r>
      <w:r>
        <w:t xml:space="preserve">: Specialized solution for credit fund managers</w:t>
      </w:r>
      <w:r>
        <w:rPr>
          <w:rStyle w:val="FootnoteReference"/>
        </w:rPr>
        <w:footnoteReference w:id="62"/>
      </w:r>
      <w:r>
        <w:t xml:space="preserve"> </w:t>
      </w:r>
      <w:r>
        <w:t xml:space="preserve">-</w:t>
      </w:r>
      <w:r>
        <w:t xml:space="preserve"> </w:t>
      </w:r>
      <w:r>
        <w:rPr>
          <w:b/>
          <w:bCs/>
        </w:rPr>
        <w:t xml:space="preserve">DDQ and KYC solutions</w:t>
      </w:r>
      <w:r>
        <w:t xml:space="preserve">: Due diligence questionnaire and know-your-customer workflow automation</w:t>
      </w:r>
      <w:r>
        <w:rPr>
          <w:rStyle w:val="FootnoteReference"/>
        </w:rPr>
        <w:footnoteReference w:id="63"/>
      </w:r>
    </w:p>
    <w:p>
      <w:pPr>
        <w:pStyle w:val="BodyText"/>
      </w:pPr>
      <w:r>
        <w:t xml:space="preserve">All products integrate with Legal Network of 600+ professionals for complex matters requiring human expertise</w:t>
      </w:r>
      <w:r>
        <w:rPr>
          <w:rStyle w:val="FootnoteReference"/>
        </w:rPr>
        <w:footnoteReference w:id="64"/>
      </w:r>
      <w:r>
        <w:rPr>
          <w:rStyle w:val="FootnoteReference"/>
        </w:rPr>
        <w:footnoteReference w:id="65"/>
      </w:r>
      <w:r>
        <w:t xml:space="preserve">.</w:t>
      </w:r>
    </w:p>
    <w:p>
      <w:pPr>
        <w:pStyle w:val="BodyText"/>
      </w:pPr>
      <w:r>
        <w:rPr>
          <w:b/>
          <w:bCs/>
        </w:rPr>
        <w:t xml:space="preserve">Product roadmap</w:t>
      </w:r>
      <w:r>
        <w:t xml:space="preserve">: Recent FundFormer acquisition (2024) adds subscription document capabilities, expanding platform coverage of fund formation workflows</w:t>
      </w:r>
      <w:r>
        <w:rPr>
          <w:rStyle w:val="FootnoteReference"/>
        </w:rPr>
        <w:footnoteReference w:id="66"/>
      </w:r>
      <w:r>
        <w:t xml:space="preserve">. Company announced</w:t>
      </w:r>
      <w:r>
        <w:t xml:space="preserve"> </w:t>
      </w:r>
      <w:r>
        <w:t xml:space="preserve">“three new solutions”</w:t>
      </w:r>
      <w:r>
        <w:t xml:space="preserve"> </w:t>
      </w:r>
      <w:r>
        <w:t xml:space="preserve">to extend platform reach, though specifics not disclosed</w:t>
      </w:r>
      <w:r>
        <w:rPr>
          <w:rStyle w:val="FootnoteReference"/>
        </w:rPr>
        <w:footnoteReference w:id="67"/>
      </w:r>
      <w:r>
        <w:t xml:space="preserve">. Roadmap appears focused on horizontal expansion across fund lifecycle (formation, management, compliance, wind-down) rather than vertical depth in single workflow. October 2024 launch of automated CTA filing demonstrates responsive product development to regulatory changes</w:t>
      </w:r>
      <w:r>
        <w:rPr>
          <w:rStyle w:val="FootnoteReference"/>
        </w:rPr>
        <w:footnoteReference w:id="68"/>
      </w:r>
      <w:r>
        <w:t xml:space="preserve">.</w:t>
      </w:r>
    </w:p>
    <w:p>
      <w:pPr>
        <w:pStyle w:val="BodyText"/>
      </w:pPr>
      <w:r>
        <w:rPr>
          <w:b/>
          <w:bCs/>
        </w:rPr>
        <w:t xml:space="preserve">Technical risks/challenges</w:t>
      </w:r>
      <w:r>
        <w:t xml:space="preserve">:</w:t>
      </w:r>
      <w:r>
        <w:t xml:space="preserve"> </w:t>
      </w:r>
      <w:r>
        <w:t xml:space="preserve">-</w:t>
      </w:r>
      <w:r>
        <w:t xml:space="preserve"> </w:t>
      </w:r>
      <w:r>
        <w:rPr>
          <w:b/>
          <w:bCs/>
        </w:rPr>
        <w:t xml:space="preserve">AI accuracy</w:t>
      </w:r>
      <w:r>
        <w:t xml:space="preserve">: Contract analysis errors could create legal liability; platform must maintain high precision on critical clauses</w:t>
      </w:r>
      <w:r>
        <w:rPr>
          <w:rStyle w:val="FootnoteReference"/>
        </w:rPr>
        <w:footnoteReference w:id="69"/>
      </w:r>
      <w:r>
        <w:t xml:space="preserve"> </w:t>
      </w:r>
      <w:r>
        <w:t xml:space="preserve">-</w:t>
      </w:r>
      <w:r>
        <w:t xml:space="preserve"> </w:t>
      </w:r>
      <w:r>
        <w:rPr>
          <w:b/>
          <w:bCs/>
        </w:rPr>
        <w:t xml:space="preserve">Data privacy</w:t>
      </w:r>
      <w:r>
        <w:t xml:space="preserve">: Handling sensitive private markets contracts requires robust security and confidentiality controls; any breach would be catastrophic for customer trust</w:t>
      </w:r>
      <w:r>
        <w:rPr>
          <w:rStyle w:val="FootnoteReference"/>
        </w:rPr>
        <w:footnoteReference w:id="70"/>
      </w:r>
      <w:r>
        <w:t xml:space="preserve"> </w:t>
      </w:r>
      <w:r>
        <w:t xml:space="preserve">-</w:t>
      </w:r>
      <w:r>
        <w:t xml:space="preserve"> </w:t>
      </w:r>
      <w:r>
        <w:rPr>
          <w:b/>
          <w:bCs/>
        </w:rPr>
        <w:t xml:space="preserve">LLM dependency</w:t>
      </w:r>
      <w:r>
        <w:t xml:space="preserve">: Reliance on third-party LLMs (OpenAI, Anthropic) creates vendor risk and cost exposure as model pricing evolves</w:t>
      </w:r>
    </w:p>
    <w:p>
      <w:pPr>
        <w:pStyle w:val="BodyText"/>
      </w:pPr>
      <w:r>
        <w:t xml:space="preserve">Ontra Platform: Legal Operating System for Private Markets</w:t>
      </w:r>
      <w:r>
        <w:t xml:space="preserve"> </w:t>
      </w:r>
      <w:r>
        <w:rPr>
          <w:i/>
          <w:iCs/>
        </w:rPr>
        <w:t xml:space="preserve">Ontra’s platform automates core legal workflows for private markets firms</w:t>
      </w:r>
    </w:p>
    <w:p>
      <w:r>
        <w:pict>
          <v:rect style="width:0;height:1.5pt" o:hralign="center" o:hrstd="t" o:hr="t"/>
        </w:pict>
      </w:r>
    </w:p>
    <w:bookmarkEnd w:id="71"/>
    <w:bookmarkStart w:id="91" w:name="traction-milestones"/>
    <w:p>
      <w:pPr>
        <w:pStyle w:val="Heading2"/>
      </w:pPr>
      <w:r>
        <w:t xml:space="preserve">5. Traction &amp; Milestones</w:t>
      </w:r>
    </w:p>
    <w:p>
      <w:pPr>
        <w:pStyle w:val="FirstParagraph"/>
      </w:pPr>
      <w:r>
        <w:rPr>
          <w:b/>
          <w:bCs/>
        </w:rPr>
        <w:t xml:space="preserve">Current metrics</w:t>
      </w:r>
      <w:r>
        <w:t xml:space="preserve">:</w:t>
      </w:r>
      <w:r>
        <w:t xml:space="preserve"> </w:t>
      </w:r>
      <w:r>
        <w:t xml:space="preserve">-</w:t>
      </w:r>
      <w:r>
        <w:t xml:space="preserve"> </w:t>
      </w:r>
      <w:r>
        <w:rPr>
          <w:b/>
          <w:bCs/>
        </w:rPr>
        <w:t xml:space="preserve">Customers</w:t>
      </w:r>
      <w:r>
        <w:t xml:space="preserve">: 800+ private markets firms (some sources cite 1,000+, suggesting recent growth)</w:t>
      </w:r>
      <w:r>
        <w:rPr>
          <w:rStyle w:val="FootnoteReference"/>
        </w:rPr>
        <w:footnoteReference w:id="72"/>
      </w:r>
      <w:r>
        <w:rPr>
          <w:rStyle w:val="FootnoteReference"/>
        </w:rPr>
        <w:footnoteReference w:id="73"/>
      </w:r>
      <w:r>
        <w:t xml:space="preserve"> </w:t>
      </w:r>
      <w:r>
        <w:t xml:space="preserve">-</w:t>
      </w:r>
      <w:r>
        <w:t xml:space="preserve"> </w:t>
      </w:r>
      <w:r>
        <w:rPr>
          <w:b/>
          <w:bCs/>
        </w:rPr>
        <w:t xml:space="preserve">Contract volume</w:t>
      </w:r>
      <w:r>
        <w:t xml:space="preserve">: 2M+ contracts processed through platform lifetime</w:t>
      </w:r>
      <w:r>
        <w:rPr>
          <w:rStyle w:val="FootnoteReference"/>
        </w:rPr>
        <w:footnoteReference w:id="74"/>
      </w:r>
      <w:r>
        <w:rPr>
          <w:rStyle w:val="FootnoteReference"/>
        </w:rPr>
        <w:footnoteReference w:id="75"/>
      </w:r>
      <w:r>
        <w:t xml:space="preserve"> </w:t>
      </w:r>
      <w:r>
        <w:t xml:space="preserve">-</w:t>
      </w:r>
      <w:r>
        <w:t xml:space="preserve"> </w:t>
      </w:r>
      <w:r>
        <w:rPr>
          <w:b/>
          <w:bCs/>
        </w:rPr>
        <w:t xml:space="preserve">Dataset</w:t>
      </w:r>
      <w:r>
        <w:t xml:space="preserve">: 1.5M+ private market contracts in proprietary database</w:t>
      </w:r>
      <w:r>
        <w:rPr>
          <w:rStyle w:val="FootnoteReference"/>
        </w:rPr>
        <w:footnoteReference w:id="76"/>
      </w:r>
      <w:r>
        <w:t xml:space="preserve"> </w:t>
      </w:r>
      <w:r>
        <w:t xml:space="preserve">-</w:t>
      </w:r>
      <w:r>
        <w:t xml:space="preserve"> </w:t>
      </w:r>
      <w:r>
        <w:rPr>
          <w:b/>
          <w:bCs/>
        </w:rPr>
        <w:t xml:space="preserve">Network</w:t>
      </w:r>
      <w:r>
        <w:t xml:space="preserve">: 600+ legal professionals in global Legal Network</w:t>
      </w:r>
      <w:r>
        <w:rPr>
          <w:rStyle w:val="FootnoteReference"/>
        </w:rPr>
        <w:footnoteReference w:id="77"/>
      </w:r>
      <w:r>
        <w:rPr>
          <w:rStyle w:val="FootnoteReference"/>
        </w:rPr>
        <w:footnoteReference w:id="78"/>
      </w:r>
      <w:r>
        <w:t xml:space="preserve"> </w:t>
      </w:r>
      <w:r>
        <w:t xml:space="preserve">-</w:t>
      </w:r>
      <w:r>
        <w:t xml:space="preserve"> </w:t>
      </w:r>
      <w:r>
        <w:rPr>
          <w:b/>
          <w:bCs/>
        </w:rPr>
        <w:t xml:space="preserve">Revenue</w:t>
      </w:r>
      <w:r>
        <w:t xml:space="preserve">: Not disclosed; given $200M Series B from Blackstone, likely $50M+ ARR (typical 3-4x revenue multiple for growth-stage legal tech)</w:t>
      </w:r>
      <w:r>
        <w:rPr>
          <w:rStyle w:val="FootnoteReference"/>
        </w:rPr>
        <w:footnoteReference w:id="79"/>
      </w:r>
    </w:p>
    <w:p>
      <w:pPr>
        <w:pStyle w:val="BodyText"/>
      </w:pPr>
      <w:r>
        <w:rPr>
          <w:b/>
          <w:bCs/>
        </w:rPr>
        <w:t xml:space="preserve">Key milestones achieved</w:t>
      </w:r>
      <w:r>
        <w:t xml:space="preserve">:</w:t>
      </w:r>
      <w:r>
        <w:t xml:space="preserve"> </w:t>
      </w:r>
      <w:r>
        <w:t xml:space="preserve">-</w:t>
      </w:r>
      <w:r>
        <w:t xml:space="preserve"> </w:t>
      </w:r>
      <w:r>
        <w:rPr>
          <w:b/>
          <w:bCs/>
        </w:rPr>
        <w:t xml:space="preserve">2014</w:t>
      </w:r>
      <w:r>
        <w:t xml:space="preserve">: Company founded as InCloudCounsel by</w:t>
      </w:r>
      <w:r>
        <w:t xml:space="preserve"> </w:t>
      </w:r>
      <w:r>
        <w:rPr>
          <w:b/>
          <w:bCs/>
        </w:rPr>
        <w:t xml:space="preserve">Troy Pospisil</w:t>
      </w:r>
      <w:r>
        <w:t xml:space="preserve"> </w:t>
      </w:r>
      <w:r>
        <w:t xml:space="preserve">(</w:t>
      </w:r>
      <w:hyperlink r:id="rId27">
        <w:r>
          <w:rPr>
            <w:rStyle w:val="Hyperlink"/>
          </w:rPr>
          <w:t xml:space="preserve">LinkedIn</w:t>
        </w:r>
      </w:hyperlink>
      <w:r>
        <w:t xml:space="preserve">)</w:t>
      </w:r>
      <w:r>
        <w:rPr>
          <w:rStyle w:val="FootnoteReference"/>
        </w:rPr>
        <w:footnoteReference w:id="80"/>
      </w:r>
      <w:r>
        <w:t xml:space="preserve"> </w:t>
      </w:r>
      <w:r>
        <w:t xml:space="preserve">-</w:t>
      </w:r>
      <w:r>
        <w:t xml:space="preserve"> </w:t>
      </w:r>
      <w:r>
        <w:rPr>
          <w:b/>
          <w:bCs/>
        </w:rPr>
        <w:t xml:space="preserve">2019</w:t>
      </w:r>
      <w:r>
        <w:t xml:space="preserve">: Rebranded to Ontra, signaling evolution beyond</w:t>
      </w:r>
      <w:r>
        <w:t xml:space="preserve"> </w:t>
      </w:r>
      <w:r>
        <w:t xml:space="preserve">“cloud counsel”</w:t>
      </w:r>
      <w:r>
        <w:t xml:space="preserve"> </w:t>
      </w:r>
      <w:r>
        <w:t xml:space="preserve">positioning</w:t>
      </w:r>
      <w:r>
        <w:rPr>
          <w:rStyle w:val="FootnoteReference"/>
        </w:rPr>
        <w:footnoteReference w:id="81"/>
      </w:r>
      <w:r>
        <w:t xml:space="preserve"> </w:t>
      </w:r>
      <w:r>
        <w:t xml:space="preserve">-</w:t>
      </w:r>
      <w:r>
        <w:t xml:space="preserve"> </w:t>
      </w:r>
      <w:r>
        <w:rPr>
          <w:b/>
          <w:bCs/>
        </w:rPr>
        <w:t xml:space="preserve">2021</w:t>
      </w:r>
      <w:r>
        <w:t xml:space="preserve">: Series A with</w:t>
      </w:r>
      <w:r>
        <w:t xml:space="preserve"> </w:t>
      </w:r>
      <w:r>
        <w:rPr>
          <w:b/>
          <w:bCs/>
        </w:rPr>
        <w:t xml:space="preserve">Battery Ventures</w:t>
      </w:r>
      <w:r>
        <w:t xml:space="preserve"> </w:t>
      </w:r>
      <w:r>
        <w:t xml:space="preserve">(</w:t>
      </w:r>
      <w:hyperlink r:id="rId82">
        <w:r>
          <w:rPr>
            <w:rStyle w:val="Hyperlink"/>
          </w:rPr>
          <w:t xml:space="preserve">website</w:t>
        </w:r>
      </w:hyperlink>
      <w:r>
        <w:t xml:space="preserve">) and</w:t>
      </w:r>
      <w:r>
        <w:t xml:space="preserve"> </w:t>
      </w:r>
      <w:r>
        <w:rPr>
          <w:b/>
          <w:bCs/>
        </w:rPr>
        <w:t xml:space="preserve">Silicon Valley Bank</w:t>
      </w:r>
      <w:r>
        <w:t xml:space="preserve"> </w:t>
      </w:r>
      <w:r>
        <w:t xml:space="preserve">(</w:t>
      </w:r>
      <w:hyperlink r:id="rId83">
        <w:r>
          <w:rPr>
            <w:rStyle w:val="Hyperlink"/>
          </w:rPr>
          <w:t xml:space="preserve">website</w:t>
        </w:r>
      </w:hyperlink>
      <w:r>
        <w:t xml:space="preserve">)</w:t>
      </w:r>
      <w:r>
        <w:t xml:space="preserve"> </w:t>
      </w:r>
      <w:r>
        <w:t xml:space="preserve">-</w:t>
      </w:r>
      <w:r>
        <w:t xml:space="preserve"> </w:t>
      </w:r>
      <w:r>
        <w:rPr>
          <w:b/>
          <w:bCs/>
        </w:rPr>
        <w:t xml:space="preserve">2022</w:t>
      </w:r>
      <w:r>
        <w:t xml:space="preserve">: $70M financing round with</w:t>
      </w:r>
      <w:r>
        <w:t xml:space="preserve"> </w:t>
      </w:r>
      <w:r>
        <w:rPr>
          <w:b/>
          <w:bCs/>
        </w:rPr>
        <w:t xml:space="preserve">Silicon Valley Bank</w:t>
      </w:r>
      <w:r>
        <w:rPr>
          <w:rStyle w:val="FootnoteReference"/>
        </w:rPr>
        <w:footnoteReference w:id="84"/>
      </w:r>
      <w:r>
        <w:t xml:space="preserve"> </w:t>
      </w:r>
      <w:r>
        <w:t xml:space="preserve">-</w:t>
      </w:r>
      <w:r>
        <w:t xml:space="preserve"> </w:t>
      </w:r>
      <w:r>
        <w:rPr>
          <w:b/>
          <w:bCs/>
        </w:rPr>
        <w:t xml:space="preserve">2023</w:t>
      </w:r>
      <w:r>
        <w:t xml:space="preserve">: Series B $200M with</w:t>
      </w:r>
      <w:r>
        <w:t xml:space="preserve"> </w:t>
      </w:r>
      <w:r>
        <w:rPr>
          <w:b/>
          <w:bCs/>
        </w:rPr>
        <w:t xml:space="preserve">Blackstone</w:t>
      </w:r>
      <w:r>
        <w:t xml:space="preserve"> </w:t>
      </w:r>
      <w:r>
        <w:t xml:space="preserve">as lead investor</w:t>
      </w:r>
      <w:r>
        <w:rPr>
          <w:rStyle w:val="FootnoteReference"/>
        </w:rPr>
        <w:footnoteReference w:id="85"/>
      </w:r>
      <w:r>
        <w:t xml:space="preserve"> </w:t>
      </w:r>
      <w:r>
        <w:t xml:space="preserve">-</w:t>
      </w:r>
      <w:r>
        <w:t xml:space="preserve"> </w:t>
      </w:r>
      <w:r>
        <w:rPr>
          <w:b/>
          <w:bCs/>
        </w:rPr>
        <w:t xml:space="preserve">2024</w:t>
      </w:r>
      <w:r>
        <w:t xml:space="preserve">: Surpassed 1,000 customer milestone</w:t>
      </w:r>
      <w:r>
        <w:rPr>
          <w:rStyle w:val="FootnoteReference"/>
        </w:rPr>
        <w:footnoteReference w:id="86"/>
      </w:r>
      <w:r>
        <w:t xml:space="preserve"> </w:t>
      </w:r>
      <w:r>
        <w:t xml:space="preserve">-</w:t>
      </w:r>
      <w:r>
        <w:t xml:space="preserve"> </w:t>
      </w:r>
      <w:r>
        <w:rPr>
          <w:b/>
          <w:bCs/>
        </w:rPr>
        <w:t xml:space="preserve">October 2024</w:t>
      </w:r>
      <w:r>
        <w:t xml:space="preserve">: Launched automated CTA filing in Atlas product</w:t>
      </w:r>
      <w:r>
        <w:rPr>
          <w:rStyle w:val="FootnoteReference"/>
        </w:rPr>
        <w:footnoteReference w:id="87"/>
      </w:r>
      <w:r>
        <w:t xml:space="preserve"> </w:t>
      </w:r>
      <w:r>
        <w:t xml:space="preserve">-</w:t>
      </w:r>
      <w:r>
        <w:t xml:space="preserve"> </w:t>
      </w:r>
      <w:r>
        <w:rPr>
          <w:b/>
          <w:bCs/>
        </w:rPr>
        <w:t xml:space="preserve">November 2024</w:t>
      </w:r>
      <w:r>
        <w:t xml:space="preserve">: Appointed</w:t>
      </w:r>
      <w:r>
        <w:t xml:space="preserve"> </w:t>
      </w:r>
      <w:r>
        <w:rPr>
          <w:b/>
          <w:bCs/>
        </w:rPr>
        <w:t xml:space="preserve">Eric Hawkins</w:t>
      </w:r>
      <w:r>
        <w:t xml:space="preserve"> </w:t>
      </w:r>
      <w:r>
        <w:t xml:space="preserve">(</w:t>
      </w:r>
      <w:hyperlink r:id="rId88">
        <w:r>
          <w:rPr>
            <w:rStyle w:val="Hyperlink"/>
          </w:rPr>
          <w:t xml:space="preserve">LinkedIn</w:t>
        </w:r>
      </w:hyperlink>
      <w:r>
        <w:t xml:space="preserve">) (former Amplitude VP Product) as CTO</w:t>
      </w:r>
      <w:r>
        <w:t xml:space="preserve"> </w:t>
      </w:r>
      <w:r>
        <w:t xml:space="preserve">-</w:t>
      </w:r>
      <w:r>
        <w:t xml:space="preserve"> </w:t>
      </w:r>
      <w:r>
        <w:rPr>
          <w:b/>
          <w:bCs/>
        </w:rPr>
        <w:t xml:space="preserve">2024</w:t>
      </w:r>
      <w:r>
        <w:t xml:space="preserve">: Named</w:t>
      </w:r>
      <w:r>
        <w:t xml:space="preserve"> </w:t>
      </w:r>
      <w:r>
        <w:t xml:space="preserve">“LegalTech AI Company of the Year”</w:t>
      </w:r>
      <w:r>
        <w:t xml:space="preserve"> </w:t>
      </w:r>
      <w:r>
        <w:t xml:space="preserve">by LegalTech Breakthrough Awards</w:t>
      </w:r>
      <w:r>
        <w:rPr>
          <w:rStyle w:val="FootnoteReference"/>
        </w:rPr>
        <w:footnoteReference w:id="89"/>
      </w:r>
      <w:r>
        <w:t xml:space="preserve"> </w:t>
      </w:r>
      <w:r>
        <w:t xml:space="preserve">-</w:t>
      </w:r>
      <w:r>
        <w:t xml:space="preserve"> </w:t>
      </w:r>
      <w:r>
        <w:rPr>
          <w:b/>
          <w:bCs/>
        </w:rPr>
        <w:t xml:space="preserve">2024</w:t>
      </w:r>
      <w:r>
        <w:t xml:space="preserve">: Acquired FundFormer to expand subscription document capabilities</w:t>
      </w:r>
      <w:r>
        <w:rPr>
          <w:rStyle w:val="FootnoteReference"/>
        </w:rPr>
        <w:footnoteReference w:id="90"/>
      </w:r>
    </w:p>
    <w:p>
      <w:pPr>
        <w:pStyle w:val="BodyText"/>
      </w:pPr>
      <w:r>
        <w:rPr>
          <w:b/>
          <w:bCs/>
        </w:rPr>
        <w:t xml:space="preserve">Next milestones</w:t>
      </w:r>
      <w:r>
        <w:t xml:space="preserve"> </w:t>
      </w:r>
      <w:r>
        <w:t xml:space="preserve">(6-12 months):</w:t>
      </w:r>
      <w:r>
        <w:t xml:space="preserve"> </w:t>
      </w:r>
      <w:r>
        <w:t xml:space="preserve">- Deploy three announced new solutions to customer base</w:t>
      </w:r>
      <w:r>
        <w:t xml:space="preserve"> </w:t>
      </w:r>
      <w:r>
        <w:t xml:space="preserve">- Scale CTO organization under new leadership to support product velocity</w:t>
      </w:r>
      <w:r>
        <w:t xml:space="preserve"> </w:t>
      </w:r>
      <w:r>
        <w:t xml:space="preserve">- Integrate FundFormer technology into core platform</w:t>
      </w:r>
      <w:r>
        <w:t xml:space="preserve"> </w:t>
      </w:r>
      <w:r>
        <w:t xml:space="preserve">- Expand Legal Network to support growing customer base and transaction volume</w:t>
      </w:r>
    </w:p>
    <w:p>
      <w:r>
        <w:pict>
          <v:rect style="width:0;height:1.5pt" o:hralign="center" o:hrstd="t" o:hr="t"/>
        </w:pict>
      </w:r>
    </w:p>
    <w:bookmarkEnd w:id="91"/>
    <w:bookmarkStart w:id="103" w:name="team"/>
    <w:p>
      <w:pPr>
        <w:pStyle w:val="Heading2"/>
      </w:pPr>
      <w:r>
        <w:t xml:space="preserve">6. Team</w:t>
      </w:r>
    </w:p>
    <w:p>
      <w:pPr>
        <w:pStyle w:val="FirstParagraph"/>
      </w:pPr>
      <w:r>
        <w:rPr>
          <w:b/>
          <w:bCs/>
        </w:rPr>
        <w:t xml:space="preserve">Founders</w:t>
      </w:r>
      <w:r>
        <w:t xml:space="preserve">:</w:t>
      </w:r>
      <w:r>
        <w:t xml:space="preserve"> </w:t>
      </w:r>
      <w:r>
        <w:t xml:space="preserve">-</w:t>
      </w:r>
      <w:r>
        <w:t xml:space="preserve"> </w:t>
      </w:r>
      <w:r>
        <w:rPr>
          <w:b/>
          <w:bCs/>
        </w:rPr>
        <w:t xml:space="preserve">Troy Pospisil</w:t>
      </w:r>
      <w:r>
        <w:t xml:space="preserve"> </w:t>
      </w:r>
      <w:r>
        <w:t xml:space="preserve">(</w:t>
      </w:r>
      <w:hyperlink r:id="rId27">
        <w:r>
          <w:rPr>
            <w:rStyle w:val="Hyperlink"/>
          </w:rPr>
          <w:t xml:space="preserve">LinkedIn</w:t>
        </w:r>
      </w:hyperlink>
      <w:r>
        <w:t xml:space="preserve">) (Founder &amp; CEO): Former private equity professional who experienced contract workflow inefficiencies firsthand while processing high-volume NDAs</w:t>
      </w:r>
      <w:r>
        <w:rPr>
          <w:rStyle w:val="FootnoteReference"/>
        </w:rPr>
        <w:footnoteReference w:id="92"/>
      </w:r>
      <w:r>
        <w:rPr>
          <w:rStyle w:val="FootnoteReference"/>
        </w:rPr>
        <w:footnoteReference w:id="93"/>
      </w:r>
      <w:r>
        <w:t xml:space="preserve">. Previously worked at management consulting firm. Bootstrapped Ontra for five years living off personal savings before raising institutional capital, demonstrating deep commitment and capital discipline. Originally founded as InCloudCounsel before strategic rebrand</w:t>
      </w:r>
      <w:r>
        <w:rPr>
          <w:rStyle w:val="FootnoteReference"/>
        </w:rPr>
        <w:footnoteReference w:id="94"/>
      </w:r>
      <w:r>
        <w:t xml:space="preserve">. Direct customer empathy from prior PE role provides product insight advantage.</w:t>
      </w:r>
      <w:r>
        <w:t xml:space="preserve"> </w:t>
      </w:r>
      <w:r>
        <w:t xml:space="preserve">-</w:t>
      </w:r>
      <w:r>
        <w:t xml:space="preserve"> </w:t>
      </w:r>
      <w:r>
        <w:rPr>
          <w:b/>
          <w:bCs/>
        </w:rPr>
        <w:t xml:space="preserve">Ben Levi</w:t>
      </w:r>
      <w:r>
        <w:t xml:space="preserve"> </w:t>
      </w:r>
      <w:r>
        <w:t xml:space="preserve">(</w:t>
      </w:r>
      <w:hyperlink r:id="rId95">
        <w:r>
          <w:rPr>
            <w:rStyle w:val="Hyperlink"/>
          </w:rPr>
          <w:t xml:space="preserve">LinkedIn</w:t>
        </w:r>
      </w:hyperlink>
      <w:r>
        <w:t xml:space="preserve">) (Co-Founder): Harvard Law School graduate (2005-2008). Limited additional background available; role in day-to-day operations unclear from research.</w:t>
      </w:r>
    </w:p>
    <w:p>
      <w:pPr>
        <w:pStyle w:val="BodyText"/>
      </w:pPr>
      <w:r>
        <w:rPr>
          <w:b/>
          <w:bCs/>
        </w:rPr>
        <w:t xml:space="preserve">Key hires</w:t>
      </w:r>
      <w:r>
        <w:t xml:space="preserve">:</w:t>
      </w:r>
      <w:r>
        <w:t xml:space="preserve"> </w:t>
      </w:r>
      <w:r>
        <w:t xml:space="preserve">-</w:t>
      </w:r>
      <w:r>
        <w:t xml:space="preserve"> </w:t>
      </w:r>
      <w:r>
        <w:rPr>
          <w:b/>
          <w:bCs/>
        </w:rPr>
        <w:t xml:space="preserve">Eric Hawkins</w:t>
      </w:r>
      <w:r>
        <w:t xml:space="preserve"> </w:t>
      </w:r>
      <w:r>
        <w:t xml:space="preserve">(</w:t>
      </w:r>
      <w:hyperlink r:id="rId88">
        <w:r>
          <w:rPr>
            <w:rStyle w:val="Hyperlink"/>
          </w:rPr>
          <w:t xml:space="preserve">LinkedIn</w:t>
        </w:r>
      </w:hyperlink>
      <w:r>
        <w:t xml:space="preserve">) (Chief Technology Officer, November 2024): Previously VP of Product Management at</w:t>
      </w:r>
      <w:r>
        <w:t xml:space="preserve"> </w:t>
      </w:r>
      <w:r>
        <w:rPr>
          <w:b/>
          <w:bCs/>
        </w:rPr>
        <w:t xml:space="preserve">Amplitude</w:t>
      </w:r>
      <w:r>
        <w:t xml:space="preserve"> </w:t>
      </w:r>
      <w:r>
        <w:t xml:space="preserve">(</w:t>
      </w:r>
      <w:hyperlink r:id="rId96">
        <w:r>
          <w:rPr>
            <w:rStyle w:val="Hyperlink"/>
          </w:rPr>
          <w:t xml:space="preserve">website</w:t>
        </w:r>
      </w:hyperlink>
      <w:r>
        <w:t xml:space="preserve">), bringing scaled product organization experience.</w:t>
      </w:r>
      <w:r>
        <w:t xml:space="preserve"> </w:t>
      </w:r>
      <w:r>
        <w:t xml:space="preserve">-</w:t>
      </w:r>
      <w:r>
        <w:t xml:space="preserve"> </w:t>
      </w:r>
      <w:r>
        <w:rPr>
          <w:b/>
          <w:bCs/>
        </w:rPr>
        <w:t xml:space="preserve">Todd Doherty</w:t>
      </w:r>
      <w:r>
        <w:t xml:space="preserve"> </w:t>
      </w:r>
      <w:r>
        <w:t xml:space="preserve">(</w:t>
      </w:r>
      <w:hyperlink r:id="rId97">
        <w:r>
          <w:rPr>
            <w:rStyle w:val="Hyperlink"/>
          </w:rPr>
          <w:t xml:space="preserve">LinkedIn</w:t>
        </w:r>
      </w:hyperlink>
      <w:r>
        <w:t xml:space="preserve">) (Chief Revenue Officer): Recent appointment to lead go-to-market scaling.</w:t>
      </w:r>
      <w:r>
        <w:t xml:space="preserve"> </w:t>
      </w:r>
      <w:r>
        <w:t xml:space="preserve">-</w:t>
      </w:r>
      <w:r>
        <w:t xml:space="preserve"> </w:t>
      </w:r>
      <w:r>
        <w:rPr>
          <w:b/>
          <w:bCs/>
        </w:rPr>
        <w:t xml:space="preserve">Additional executives</w:t>
      </w:r>
      <w:r>
        <w:t xml:space="preserve"> </w:t>
      </w:r>
      <w:r>
        <w:t xml:space="preserve">with backgrounds at</w:t>
      </w:r>
      <w:r>
        <w:t xml:space="preserve"> </w:t>
      </w:r>
      <w:r>
        <w:rPr>
          <w:b/>
          <w:bCs/>
        </w:rPr>
        <w:t xml:space="preserve">Tealium</w:t>
      </w:r>
      <w:r>
        <w:t xml:space="preserve"> </w:t>
      </w:r>
      <w:r>
        <w:t xml:space="preserve">(</w:t>
      </w:r>
      <w:hyperlink r:id="rId98">
        <w:r>
          <w:rPr>
            <w:rStyle w:val="Hyperlink"/>
          </w:rPr>
          <w:t xml:space="preserve">website</w:t>
        </w:r>
      </w:hyperlink>
      <w:r>
        <w:t xml:space="preserve">),</w:t>
      </w:r>
      <w:r>
        <w:t xml:space="preserve"> </w:t>
      </w:r>
      <w:r>
        <w:rPr>
          <w:b/>
          <w:bCs/>
        </w:rPr>
        <w:t xml:space="preserve">Axiom Law</w:t>
      </w:r>
      <w:r>
        <w:t xml:space="preserve"> </w:t>
      </w:r>
      <w:r>
        <w:t xml:space="preserve">(</w:t>
      </w:r>
      <w:hyperlink r:id="rId99">
        <w:r>
          <w:rPr>
            <w:rStyle w:val="Hyperlink"/>
          </w:rPr>
          <w:t xml:space="preserve">website</w:t>
        </w:r>
      </w:hyperlink>
      <w:r>
        <w:t xml:space="preserve">),</w:t>
      </w:r>
      <w:r>
        <w:t xml:space="preserve"> </w:t>
      </w:r>
      <w:r>
        <w:rPr>
          <w:b/>
          <w:bCs/>
        </w:rPr>
        <w:t xml:space="preserve">Hewlett-Packard</w:t>
      </w:r>
      <w:r>
        <w:t xml:space="preserve"> </w:t>
      </w:r>
      <w:r>
        <w:t xml:space="preserve">(</w:t>
      </w:r>
      <w:hyperlink r:id="rId100">
        <w:r>
          <w:rPr>
            <w:rStyle w:val="Hyperlink"/>
          </w:rPr>
          <w:t xml:space="preserve">website</w:t>
        </w:r>
      </w:hyperlink>
      <w:r>
        <w:t xml:space="preserve">),</w:t>
      </w:r>
      <w:r>
        <w:t xml:space="preserve"> </w:t>
      </w:r>
      <w:r>
        <w:rPr>
          <w:b/>
          <w:bCs/>
        </w:rPr>
        <w:t xml:space="preserve">C2FO</w:t>
      </w:r>
      <w:r>
        <w:t xml:space="preserve"> </w:t>
      </w:r>
      <w:r>
        <w:t xml:space="preserve">(</w:t>
      </w:r>
      <w:hyperlink r:id="rId101">
        <w:r>
          <w:rPr>
            <w:rStyle w:val="Hyperlink"/>
          </w:rPr>
          <w:t xml:space="preserve">website</w:t>
        </w:r>
      </w:hyperlink>
      <w:r>
        <w:t xml:space="preserve">), and</w:t>
      </w:r>
      <w:r>
        <w:t xml:space="preserve"> </w:t>
      </w:r>
      <w:r>
        <w:rPr>
          <w:b/>
          <w:bCs/>
        </w:rPr>
        <w:t xml:space="preserve">AppFolio</w:t>
      </w:r>
      <w:r>
        <w:t xml:space="preserve"> </w:t>
      </w:r>
      <w:r>
        <w:t xml:space="preserve">(</w:t>
      </w:r>
      <w:hyperlink r:id="rId102">
        <w:r>
          <w:rPr>
            <w:rStyle w:val="Hyperlink"/>
          </w:rPr>
          <w:t xml:space="preserve">website</w:t>
        </w:r>
      </w:hyperlink>
      <w:r>
        <w:t xml:space="preserve">) indicate enterprise software and legal tech domain expertise.</w:t>
      </w:r>
    </w:p>
    <w:p>
      <w:r>
        <w:pict>
          <v:rect style="width:0;height:1.5pt" o:hralign="center" o:hrstd="t" o:hr="t"/>
        </w:pict>
      </w:r>
    </w:p>
    <w:bookmarkEnd w:id="103"/>
    <w:bookmarkStart w:id="112" w:name="funding-terms"/>
    <w:p>
      <w:pPr>
        <w:pStyle w:val="Heading2"/>
      </w:pPr>
      <w:r>
        <w:t xml:space="preserve">7. Funding &amp; Terms</w:t>
      </w:r>
    </w:p>
    <w:p>
      <w:pPr>
        <w:pStyle w:val="FirstParagraph"/>
      </w:pPr>
      <w:r>
        <w:rPr>
          <w:b/>
          <w:bCs/>
        </w:rPr>
        <w:t xml:space="preserve">Round</w:t>
      </w:r>
      <w:r>
        <w:t xml:space="preserve">: Series B (completed)</w:t>
      </w:r>
      <w:r>
        <w:br/>
      </w:r>
      <w:r>
        <w:rPr>
          <w:b/>
          <w:bCs/>
        </w:rPr>
        <w:t xml:space="preserve">Amount raised</w:t>
      </w:r>
      <w:r>
        <w:t xml:space="preserve">: $200M</w:t>
      </w:r>
      <w:r>
        <w:rPr>
          <w:rStyle w:val="FootnoteReference"/>
        </w:rPr>
        <w:footnoteReference w:id="104"/>
      </w:r>
      <w:r>
        <w:br/>
      </w:r>
      <w:r>
        <w:rPr>
          <w:b/>
          <w:bCs/>
        </w:rPr>
        <w:t xml:space="preserve">Valuation</w:t>
      </w:r>
      <w:r>
        <w:t xml:space="preserve">: Not disclosed; given $200M round size and growth stage, likely $800M-$1.5B post-money valuation range</w:t>
      </w:r>
      <w:r>
        <w:br/>
      </w:r>
      <w:r>
        <w:rPr>
          <w:b/>
          <w:bCs/>
        </w:rPr>
        <w:t xml:space="preserve">Use of funds</w:t>
      </w:r>
      <w:r>
        <w:t xml:space="preserve">: Not specified; likely allocated to product development (new CTO hire), sales expansion (new CRO hire), Legal Network scaling, and M&amp;A (FundFormer acquisition)</w:t>
      </w:r>
    </w:p>
    <w:p>
      <w:pPr>
        <w:pStyle w:val="BodyText"/>
      </w:pPr>
      <w:r>
        <w:rPr>
          <w:b/>
          <w:bCs/>
        </w:rPr>
        <w:t xml:space="preserve">Prior funding</w:t>
      </w:r>
      <w:r>
        <w:t xml:space="preserve">:</w:t>
      </w:r>
      <w:r>
        <w:t xml:space="preserve"> </w:t>
      </w:r>
      <w:r>
        <w:t xml:space="preserve">-</w:t>
      </w:r>
      <w:r>
        <w:t xml:space="preserve"> </w:t>
      </w:r>
      <w:r>
        <w:rPr>
          <w:b/>
          <w:bCs/>
        </w:rPr>
        <w:t xml:space="preserve">Bootstrapped phase</w:t>
      </w:r>
      <w:r>
        <w:t xml:space="preserve"> </w:t>
      </w:r>
      <w:r>
        <w:t xml:space="preserve">(2014-2019): Founder-funded for five years, demonstrating capital efficiency and founder commitment</w:t>
      </w:r>
      <w:r>
        <w:rPr>
          <w:rStyle w:val="FootnoteReference"/>
        </w:rPr>
        <w:footnoteReference w:id="105"/>
      </w:r>
      <w:r>
        <w:t xml:space="preserve"> </w:t>
      </w:r>
      <w:r>
        <w:t xml:space="preserve">-</w:t>
      </w:r>
      <w:r>
        <w:t xml:space="preserve"> </w:t>
      </w:r>
      <w:r>
        <w:rPr>
          <w:b/>
          <w:bCs/>
        </w:rPr>
        <w:t xml:space="preserve">Series A</w:t>
      </w:r>
      <w:r>
        <w:t xml:space="preserve"> </w:t>
      </w:r>
      <w:r>
        <w:t xml:space="preserve">(2021): Undisclosed amount from</w:t>
      </w:r>
      <w:r>
        <w:t xml:space="preserve"> </w:t>
      </w:r>
      <w:r>
        <w:rPr>
          <w:b/>
          <w:bCs/>
        </w:rPr>
        <w:t xml:space="preserve">Battery Ventures</w:t>
      </w:r>
      <w:r>
        <w:t xml:space="preserve"> </w:t>
      </w:r>
      <w:r>
        <w:t xml:space="preserve">and</w:t>
      </w:r>
      <w:r>
        <w:t xml:space="preserve"> </w:t>
      </w:r>
      <w:r>
        <w:rPr>
          <w:b/>
          <w:bCs/>
        </w:rPr>
        <w:t xml:space="preserve">Silicon Valley Bank</w:t>
      </w:r>
      <w:r>
        <w:rPr>
          <w:rStyle w:val="FootnoteReference"/>
        </w:rPr>
        <w:footnoteReference w:id="106"/>
      </w:r>
      <w:r>
        <w:t xml:space="preserve"> </w:t>
      </w:r>
      <w:r>
        <w:t xml:space="preserve">-</w:t>
      </w:r>
      <w:r>
        <w:t xml:space="preserve"> </w:t>
      </w:r>
      <w:r>
        <w:rPr>
          <w:b/>
          <w:bCs/>
        </w:rPr>
        <w:t xml:space="preserve">Growth financing</w:t>
      </w:r>
      <w:r>
        <w:t xml:space="preserve"> </w:t>
      </w:r>
      <w:r>
        <w:t xml:space="preserve">(2022): $70M from</w:t>
      </w:r>
      <w:r>
        <w:t xml:space="preserve"> </w:t>
      </w:r>
      <w:r>
        <w:rPr>
          <w:b/>
          <w:bCs/>
        </w:rPr>
        <w:t xml:space="preserve">Silicon Valley Bank</w:t>
      </w:r>
      <w:r>
        <w:rPr>
          <w:rStyle w:val="FootnoteReference"/>
        </w:rPr>
        <w:footnoteReference w:id="107"/>
      </w:r>
      <w:r>
        <w:t xml:space="preserve"> </w:t>
      </w:r>
      <w:r>
        <w:t xml:space="preserve">-</w:t>
      </w:r>
      <w:r>
        <w:t xml:space="preserve"> </w:t>
      </w:r>
      <w:r>
        <w:rPr>
          <w:b/>
          <w:bCs/>
        </w:rPr>
        <w:t xml:space="preserve">Series B</w:t>
      </w:r>
      <w:r>
        <w:t xml:space="preserve"> </w:t>
      </w:r>
      <w:r>
        <w:t xml:space="preserve">(2023): $200M led by</w:t>
      </w:r>
      <w:r>
        <w:t xml:space="preserve"> </w:t>
      </w:r>
      <w:r>
        <w:rPr>
          <w:b/>
          <w:bCs/>
        </w:rPr>
        <w:t xml:space="preserve">Blackstone</w:t>
      </w:r>
      <w:r>
        <w:rPr>
          <w:rStyle w:val="FootnoteReference"/>
        </w:rPr>
        <w:footnoteReference w:id="108"/>
      </w:r>
      <w:r>
        <w:t xml:space="preserve"> </w:t>
      </w:r>
      <w:r>
        <w:t xml:space="preserve">-</w:t>
      </w:r>
      <w:r>
        <w:t xml:space="preserve"> </w:t>
      </w:r>
      <w:r>
        <w:rPr>
          <w:b/>
          <w:bCs/>
        </w:rPr>
        <w:t xml:space="preserve">Total raised</w:t>
      </w:r>
      <w:r>
        <w:t xml:space="preserve">: $270M+ across all rounds</w:t>
      </w:r>
      <w:r>
        <w:rPr>
          <w:rStyle w:val="FootnoteReference"/>
        </w:rPr>
        <w:footnoteReference w:id="109"/>
      </w:r>
    </w:p>
    <w:p>
      <w:pPr>
        <w:pStyle w:val="BodyText"/>
      </w:pPr>
      <w:r>
        <w:rPr>
          <w:b/>
          <w:bCs/>
        </w:rPr>
        <w:t xml:space="preserve">Notable investors</w:t>
      </w:r>
      <w:r>
        <w:t xml:space="preserve">:</w:t>
      </w:r>
      <w:r>
        <w:t xml:space="preserve"> </w:t>
      </w:r>
      <w:r>
        <w:t xml:space="preserve">-</w:t>
      </w:r>
      <w:r>
        <w:t xml:space="preserve"> </w:t>
      </w:r>
      <w:r>
        <w:rPr>
          <w:b/>
          <w:bCs/>
        </w:rPr>
        <w:t xml:space="preserve">Blackstone</w:t>
      </w:r>
      <w:r>
        <w:t xml:space="preserve"> </w:t>
      </w:r>
      <w:r>
        <w:t xml:space="preserve">(</w:t>
      </w:r>
      <w:hyperlink r:id="rId17">
        <w:r>
          <w:rPr>
            <w:rStyle w:val="Hyperlink"/>
          </w:rPr>
          <w:t xml:space="preserve">website</w:t>
        </w:r>
      </w:hyperlink>
      <w:r>
        <w:t xml:space="preserve">) (Series B lead): World’s largest alternative asset manager ($1T+ AUM) with direct insight into customer base and pain points</w:t>
      </w:r>
      <w:r>
        <w:rPr>
          <w:rStyle w:val="FootnoteReference"/>
        </w:rPr>
        <w:footnoteReference w:id="110"/>
      </w:r>
      <w:r>
        <w:t xml:space="preserve">.</w:t>
      </w:r>
      <w:r>
        <w:t xml:space="preserve"> </w:t>
      </w:r>
      <w:r>
        <w:t xml:space="preserve">-</w:t>
      </w:r>
      <w:r>
        <w:t xml:space="preserve"> </w:t>
      </w:r>
      <w:r>
        <w:rPr>
          <w:b/>
          <w:bCs/>
        </w:rPr>
        <w:t xml:space="preserve">Battery Ventures</w:t>
      </w:r>
      <w:r>
        <w:t xml:space="preserve"> </w:t>
      </w:r>
      <w:r>
        <w:t xml:space="preserve">(</w:t>
      </w:r>
      <w:hyperlink r:id="rId82">
        <w:r>
          <w:rPr>
            <w:rStyle w:val="Hyperlink"/>
          </w:rPr>
          <w:t xml:space="preserve">website</w:t>
        </w:r>
      </w:hyperlink>
      <w:r>
        <w:t xml:space="preserve">) (Series A): Established enterprise software investor with legal tech portfolio (Compliance.ai, Onit)</w:t>
      </w:r>
      <w:r>
        <w:rPr>
          <w:rStyle w:val="FootnoteReference"/>
        </w:rPr>
        <w:footnoteReference w:id="111"/>
      </w:r>
      <w:r>
        <w:t xml:space="preserve">.</w:t>
      </w:r>
      <w:r>
        <w:t xml:space="preserve"> </w:t>
      </w:r>
      <w:r>
        <w:t xml:space="preserve">-</w:t>
      </w:r>
      <w:r>
        <w:t xml:space="preserve"> </w:t>
      </w:r>
      <w:r>
        <w:rPr>
          <w:b/>
          <w:bCs/>
        </w:rPr>
        <w:t xml:space="preserve">Silicon Valley Bank</w:t>
      </w:r>
      <w:r>
        <w:t xml:space="preserve"> </w:t>
      </w:r>
      <w:r>
        <w:t xml:space="preserve">(</w:t>
      </w:r>
      <w:hyperlink r:id="rId83">
        <w:r>
          <w:rPr>
            <w:rStyle w:val="Hyperlink"/>
          </w:rPr>
          <w:t xml:space="preserve">website</w:t>
        </w:r>
      </w:hyperlink>
      <w:r>
        <w:t xml:space="preserve">): Provided debt and equity financing pre-2023 collapse; relationship status post-First Citizens acquisition unclear.</w:t>
      </w:r>
    </w:p>
    <w:p>
      <w:pPr>
        <w:pStyle w:val="BodyText"/>
      </w:pPr>
      <w:r>
        <w:t xml:space="preserve">Ontra Funding Milestones, 2014-2024</w:t>
      </w:r>
      <w:r>
        <w:t xml:space="preserve"> </w:t>
      </w:r>
      <w:r>
        <w:rPr>
          <w:i/>
          <w:iCs/>
        </w:rPr>
        <w:t xml:space="preserve">Ontra’s decade-long journey from bootstrapped startup to $200M Series B with Blackstone</w:t>
      </w:r>
    </w:p>
    <w:p>
      <w:r>
        <w:pict>
          <v:rect style="width:0;height:1.5pt" o:hralign="center" o:hrstd="t" o:hr="t"/>
        </w:pict>
      </w:r>
    </w:p>
    <w:bookmarkEnd w:id="112"/>
    <w:bookmarkStart w:id="121" w:name="risks-mitigations"/>
    <w:p>
      <w:pPr>
        <w:pStyle w:val="Heading2"/>
      </w:pPr>
      <w:r>
        <w:t xml:space="preserve">8. Risks &amp; Mitigations</w:t>
      </w:r>
    </w:p>
    <w:p>
      <w:pPr>
        <w:pStyle w:val="Compact"/>
        <w:numPr>
          <w:ilvl w:val="0"/>
          <w:numId w:val="1001"/>
        </w:numPr>
      </w:pPr>
      <w:r>
        <w:rPr>
          <w:b/>
          <w:bCs/>
        </w:rPr>
        <w:t xml:space="preserve">Market Concentration Risk</w:t>
      </w:r>
      <w:r>
        <w:t xml:space="preserve">: Private markets customer base is cyclical and concentrated among large PE/VC firms. Economic downturn reducing deal activity could pressure contract volumes and platform usage</w:t>
      </w:r>
      <w:r>
        <w:rPr>
          <w:rStyle w:val="FootnoteReference"/>
        </w:rPr>
        <w:footnoteReference w:id="113"/>
      </w:r>
      <w:r>
        <w:t xml:space="preserve">.</w:t>
      </w:r>
    </w:p>
    <w:p>
      <w:pPr>
        <w:pStyle w:val="Compact"/>
        <w:numPr>
          <w:ilvl w:val="1"/>
          <w:numId w:val="1002"/>
        </w:numPr>
      </w:pPr>
      <w:r>
        <w:rPr>
          <w:i/>
          <w:iCs/>
        </w:rPr>
        <w:t xml:space="preserve">Mitigation</w:t>
      </w:r>
      <w:r>
        <w:t xml:space="preserve">: Expansion into adjacent markets (credit funds, asset managers) diversifies customer base. Compliance products (Atlas CTA filing) provide recurring revenue less tied to transaction volume. Long contract cycles with private markets firms create revenue stability.</w:t>
      </w:r>
    </w:p>
    <w:p>
      <w:pPr>
        <w:pStyle w:val="Compact"/>
        <w:numPr>
          <w:ilvl w:val="0"/>
          <w:numId w:val="1001"/>
        </w:numPr>
      </w:pPr>
      <w:r>
        <w:rPr>
          <w:b/>
          <w:bCs/>
        </w:rPr>
        <w:t xml:space="preserve">Competitive Disruption Risk</w:t>
      </w:r>
      <w:r>
        <w:t xml:space="preserve">: Horizontal CLM vendors (</w:t>
      </w:r>
      <w:r>
        <w:rPr>
          <w:b/>
          <w:bCs/>
        </w:rPr>
        <w:t xml:space="preserve">Ironclad</w:t>
      </w:r>
      <w:r>
        <w:t xml:space="preserve">,</w:t>
      </w:r>
      <w:r>
        <w:t xml:space="preserve"> </w:t>
      </w:r>
      <w:r>
        <w:rPr>
          <w:b/>
          <w:bCs/>
        </w:rPr>
        <w:t xml:space="preserve">LinkSquares</w:t>
      </w:r>
      <w:r>
        <w:t xml:space="preserve">) could add private markets features, while AI-native startups could build specialized solutions faster. Large law firms developing proprietary technology could bypass Ontra for captive client bases</w:t>
      </w:r>
      <w:r>
        <w:rPr>
          <w:rStyle w:val="FootnoteReference"/>
        </w:rPr>
        <w:footnoteReference w:id="114"/>
      </w:r>
      <w:r>
        <w:t xml:space="preserve">.</w:t>
      </w:r>
    </w:p>
    <w:p>
      <w:pPr>
        <w:pStyle w:val="Compact"/>
        <w:numPr>
          <w:ilvl w:val="1"/>
          <w:numId w:val="1003"/>
        </w:numPr>
      </w:pPr>
      <w:r>
        <w:rPr>
          <w:i/>
          <w:iCs/>
        </w:rPr>
        <w:t xml:space="preserve">Mitigation</w:t>
      </w:r>
      <w:r>
        <w:t xml:space="preserve">: Proprietary dataset of 1.5M+ contracts creates moat that competitors cannot easily replicate</w:t>
      </w:r>
      <w:r>
        <w:rPr>
          <w:rStyle w:val="FootnoteReference"/>
        </w:rPr>
        <w:footnoteReference w:id="115"/>
      </w:r>
      <w:r>
        <w:t xml:space="preserve">. Ten-year customer relationships and embedded workflows create switching costs. Legal Network hybrid model difficult for pure software vendors to replicate. Continuous M&amp;A (FundFormer) adds capabilities faster than organic development.</w:t>
      </w:r>
    </w:p>
    <w:p>
      <w:pPr>
        <w:pStyle w:val="Compact"/>
        <w:numPr>
          <w:ilvl w:val="0"/>
          <w:numId w:val="1001"/>
        </w:numPr>
      </w:pPr>
      <w:r>
        <w:rPr>
          <w:b/>
          <w:bCs/>
        </w:rPr>
        <w:t xml:space="preserve">Technology Execution Risk</w:t>
      </w:r>
      <w:r>
        <w:t xml:space="preserve">: AI accuracy issues could create legal liability exposure. LLM cost increases could compress margins. New CTO appointment in November 2024 suggests prior technology leadership gap during critical AI product development period</w:t>
      </w:r>
      <w:r>
        <w:rPr>
          <w:rStyle w:val="FootnoteReference"/>
        </w:rPr>
        <w:footnoteReference w:id="116"/>
      </w:r>
      <w:r>
        <w:rPr>
          <w:rStyle w:val="FootnoteReference"/>
        </w:rPr>
        <w:footnoteReference w:id="117"/>
      </w:r>
      <w:r>
        <w:t xml:space="preserve">.</w:t>
      </w:r>
    </w:p>
    <w:p>
      <w:pPr>
        <w:pStyle w:val="Compact"/>
        <w:numPr>
          <w:ilvl w:val="1"/>
          <w:numId w:val="1004"/>
        </w:numPr>
      </w:pPr>
      <w:r>
        <w:rPr>
          <w:i/>
          <w:iCs/>
        </w:rPr>
        <w:t xml:space="preserve">Mitigation</w:t>
      </w:r>
      <w:r>
        <w:t xml:space="preserve">: Legal Network provides human review layer for high-stakes contracts, reducing pure AI risk.</w:t>
      </w:r>
      <w:r>
        <w:t xml:space="preserve"> </w:t>
      </w:r>
      <w:r>
        <w:rPr>
          <w:b/>
          <w:bCs/>
        </w:rPr>
        <w:t xml:space="preserve">Eric Hawkins</w:t>
      </w:r>
      <w:r>
        <w:t xml:space="preserve"> </w:t>
      </w:r>
      <w:r>
        <w:t xml:space="preserve">hire from</w:t>
      </w:r>
      <w:r>
        <w:t xml:space="preserve"> </w:t>
      </w:r>
      <w:r>
        <w:rPr>
          <w:b/>
          <w:bCs/>
        </w:rPr>
        <w:t xml:space="preserve">Amplitude</w:t>
      </w:r>
      <w:r>
        <w:t xml:space="preserve"> </w:t>
      </w:r>
      <w:r>
        <w:t xml:space="preserve">brings scaled product organization experience.</w:t>
      </w:r>
      <w:r>
        <w:t xml:space="preserve"> </w:t>
      </w:r>
      <w:r>
        <w:rPr>
          <w:b/>
          <w:bCs/>
        </w:rPr>
        <w:t xml:space="preserve">Blackstone’s</w:t>
      </w:r>
      <w:r>
        <w:t xml:space="preserve"> </w:t>
      </w:r>
      <w:r>
        <w:t xml:space="preserve">$200M investment suggests technology due diligence validation. Multi-LLM strategy likely reduces single-vendor dependency.</w:t>
      </w:r>
    </w:p>
    <w:p>
      <w:pPr>
        <w:pStyle w:val="Compact"/>
        <w:numPr>
          <w:ilvl w:val="0"/>
          <w:numId w:val="1001"/>
        </w:numPr>
      </w:pPr>
      <w:r>
        <w:rPr>
          <w:b/>
          <w:bCs/>
        </w:rPr>
        <w:t xml:space="preserve">Regulatory Risk</w:t>
      </w:r>
      <w:r>
        <w:t xml:space="preserve">: Changes to private markets regulations could obsolete current compliance features or require significant product rework. Data privacy regulations (GDPR, CCPA) increase compliance costs for handling sensitive contract data.</w:t>
      </w:r>
    </w:p>
    <w:p>
      <w:pPr>
        <w:pStyle w:val="Compact"/>
        <w:numPr>
          <w:ilvl w:val="1"/>
          <w:numId w:val="1005"/>
        </w:numPr>
      </w:pPr>
      <w:r>
        <w:rPr>
          <w:i/>
          <w:iCs/>
        </w:rPr>
        <w:t xml:space="preserve">Mitigation</w:t>
      </w:r>
      <w:r>
        <w:t xml:space="preserve">: Rapid response to Corporate Transparency Act with automated filing feature (October 2024) demonstrates regulatory agility</w:t>
      </w:r>
      <w:r>
        <w:rPr>
          <w:rStyle w:val="FootnoteReference"/>
        </w:rPr>
        <w:footnoteReference w:id="118"/>
      </w:r>
      <w:r>
        <w:t xml:space="preserve">. Legal Network provides expertise to interpret regulatory changes. Customer contracts likely include provisions for regulatory updates.</w:t>
      </w:r>
    </w:p>
    <w:p>
      <w:pPr>
        <w:pStyle w:val="Compact"/>
        <w:numPr>
          <w:ilvl w:val="0"/>
          <w:numId w:val="1001"/>
        </w:numPr>
      </w:pPr>
      <w:r>
        <w:rPr>
          <w:b/>
          <w:bCs/>
        </w:rPr>
        <w:t xml:space="preserve">Unit Economics Uncertainty</w:t>
      </w:r>
      <w:r>
        <w:t xml:space="preserve">: No disclosed revenue, customer acquisition cost, or retention metrics make financial health assessment difficult. $270M+ raised over 10 years suggests potential capital inefficiency or slow path to profitability</w:t>
      </w:r>
      <w:r>
        <w:rPr>
          <w:rStyle w:val="FootnoteReference"/>
        </w:rPr>
        <w:footnoteReference w:id="119"/>
      </w:r>
      <w:r>
        <w:t xml:space="preserve">.</w:t>
      </w:r>
    </w:p>
    <w:p>
      <w:pPr>
        <w:pStyle w:val="Compact"/>
        <w:numPr>
          <w:ilvl w:val="1"/>
          <w:numId w:val="1006"/>
        </w:numPr>
      </w:pPr>
      <w:r>
        <w:rPr>
          <w:i/>
          <w:iCs/>
        </w:rPr>
        <w:t xml:space="preserve">Mitigation</w:t>
      </w:r>
      <w:r>
        <w:t xml:space="preserve">: Five-year bootstrap period before institutional capital suggests founder discipline and product-market fit validation.</w:t>
      </w:r>
      <w:r>
        <w:t xml:space="preserve"> </w:t>
      </w:r>
      <w:r>
        <w:rPr>
          <w:b/>
          <w:bCs/>
        </w:rPr>
        <w:t xml:space="preserve">Blackstone’s</w:t>
      </w:r>
      <w:r>
        <w:t xml:space="preserve"> </w:t>
      </w:r>
      <w:r>
        <w:t xml:space="preserve">$200M investment at growth stage implies acceptable unit economics. Customer count growth from 800+ to 1,000+ indicates strong demand</w:t>
      </w:r>
      <w:r>
        <w:rPr>
          <w:rStyle w:val="FootnoteReference"/>
        </w:rPr>
        <w:footnoteReference w:id="120"/>
      </w:r>
      <w:r>
        <w:t xml:space="preserve">.</w:t>
      </w:r>
    </w:p>
    <w:p>
      <w:r>
        <w:pict>
          <v:rect style="width:0;height:1.5pt" o:hralign="center" o:hrstd="t" o:hr="t"/>
        </w:pict>
      </w:r>
    </w:p>
    <w:bookmarkEnd w:id="121"/>
    <w:bookmarkStart w:id="130" w:name="investment-thesis"/>
    <w:p>
      <w:pPr>
        <w:pStyle w:val="Heading2"/>
      </w:pPr>
      <w:r>
        <w:t xml:space="preserve">9. Investment Thesis</w:t>
      </w:r>
    </w:p>
    <w:p>
      <w:pPr>
        <w:pStyle w:val="FirstParagraph"/>
      </w:pPr>
      <w:r>
        <w:rPr>
          <w:b/>
          <w:bCs/>
        </w:rPr>
        <w:t xml:space="preserve">Why now</w:t>
      </w:r>
      <w:r>
        <w:t xml:space="preserve">: Private markets firms face increasing regulatory complexity (Corporate Transparency Act, beneficial ownership reporting) while managing growing contract volumes from record fundraising ($1.2T raised globally in 2021-2022, Preqin). AI capabilities have reached threshold accuracy for contract analysis that was impossible five years ago, creating technology enablement window.</w:t>
      </w:r>
      <w:r>
        <w:t xml:space="preserve"> </w:t>
      </w:r>
      <w:r>
        <w:rPr>
          <w:b/>
          <w:bCs/>
        </w:rPr>
        <w:t xml:space="preserve">Blackstone’s</w:t>
      </w:r>
      <w:r>
        <w:t xml:space="preserve"> </w:t>
      </w:r>
      <w:r>
        <w:t xml:space="preserve">$200M Series B (2023) validates market timing and provides strategic partnership with largest private markets firm globally</w:t>
      </w:r>
      <w:r>
        <w:rPr>
          <w:rStyle w:val="FootnoteReference"/>
        </w:rPr>
        <w:footnoteReference w:id="122"/>
      </w:r>
      <w:r>
        <w:rPr>
          <w:rStyle w:val="FootnoteReference"/>
        </w:rPr>
        <w:footnoteReference w:id="123"/>
      </w:r>
      <w:r>
        <w:t xml:space="preserve">.</w:t>
      </w:r>
    </w:p>
    <w:p>
      <w:pPr>
        <w:pStyle w:val="BodyText"/>
      </w:pPr>
      <w:r>
        <w:rPr>
          <w:b/>
          <w:bCs/>
        </w:rPr>
        <w:t xml:space="preserve">Why this team</w:t>
      </w:r>
      <w:r>
        <w:t xml:space="preserve">:</w:t>
      </w:r>
      <w:r>
        <w:t xml:space="preserve"> </w:t>
      </w:r>
      <w:r>
        <w:rPr>
          <w:b/>
          <w:bCs/>
        </w:rPr>
        <w:t xml:space="preserve">Troy Pospisil</w:t>
      </w:r>
      <w:r>
        <w:t xml:space="preserve">’s private equity background provides authentic customer empathy and credible relationships with target buyers—critical advantage in conservative legal/financial services market</w:t>
      </w:r>
      <w:r>
        <w:rPr>
          <w:rStyle w:val="FootnoteReference"/>
        </w:rPr>
        <w:footnoteReference w:id="124"/>
      </w:r>
      <w:r>
        <w:t xml:space="preserve">. Ten-year operating history demonstrates execution consistency through multiple market cycles</w:t>
      </w:r>
      <w:r>
        <w:rPr>
          <w:rStyle w:val="FootnoteReference"/>
        </w:rPr>
        <w:footnoteReference w:id="125"/>
      </w:r>
      <w:r>
        <w:t xml:space="preserve">. Recent executive hires from</w:t>
      </w:r>
      <w:r>
        <w:t xml:space="preserve"> </w:t>
      </w:r>
      <w:r>
        <w:rPr>
          <w:b/>
          <w:bCs/>
        </w:rPr>
        <w:t xml:space="preserve">Amplitude</w:t>
      </w:r>
      <w:r>
        <w:t xml:space="preserve"> </w:t>
      </w:r>
      <w:r>
        <w:t xml:space="preserve">and</w:t>
      </w:r>
      <w:r>
        <w:t xml:space="preserve"> </w:t>
      </w:r>
      <w:r>
        <w:rPr>
          <w:b/>
          <w:bCs/>
        </w:rPr>
        <w:t xml:space="preserve">AppFolio</w:t>
      </w:r>
      <w:r>
        <w:t xml:space="preserve"> </w:t>
      </w:r>
      <w:r>
        <w:t xml:space="preserve">indicate ability to attract top talent for scaling phase.</w:t>
      </w:r>
    </w:p>
    <w:p>
      <w:pPr>
        <w:pStyle w:val="BodyText"/>
      </w:pPr>
      <w:r>
        <w:rPr>
          <w:b/>
          <w:bCs/>
        </w:rPr>
        <w:t xml:space="preserve">Why this approach</w:t>
      </w:r>
      <w:r>
        <w:t xml:space="preserve">: Hybrid AI-human model via Legal Network differentiates from pure software CLM vendors and traditional law firms</w:t>
      </w:r>
      <w:r>
        <w:rPr>
          <w:rStyle w:val="FootnoteReference"/>
        </w:rPr>
        <w:footnoteReference w:id="126"/>
      </w:r>
      <w:r>
        <w:t xml:space="preserve">. Proprietary dataset of 1.5M+ private market contracts creates sustainable moat—competitors cannot replicate this training data without years of customer relationships</w:t>
      </w:r>
      <w:r>
        <w:rPr>
          <w:rStyle w:val="FootnoteReference"/>
        </w:rPr>
        <w:footnoteReference w:id="127"/>
      </w:r>
      <w:r>
        <w:rPr>
          <w:rStyle w:val="FootnoteReference"/>
        </w:rPr>
        <w:footnoteReference w:id="128"/>
      </w:r>
      <w:r>
        <w:t xml:space="preserve">. Vertical specialization in private markets allows deeper product integration than horizontal CLM tools, creating switching costs</w:t>
      </w:r>
      <w:r>
        <w:rPr>
          <w:rStyle w:val="FootnoteReference"/>
        </w:rPr>
        <w:footnoteReference w:id="129"/>
      </w:r>
      <w:r>
        <w:t xml:space="preserve">.</w:t>
      </w:r>
    </w:p>
    <w:p>
      <w:r>
        <w:pict>
          <v:rect style="width:0;height:1.5pt" o:hralign="center" o:hrstd="t" o:hr="t"/>
        </w:pict>
      </w:r>
    </w:p>
    <w:bookmarkEnd w:id="130"/>
    <w:bookmarkStart w:id="135" w:name="recommendation"/>
    <w:p>
      <w:pPr>
        <w:pStyle w:val="Heading2"/>
      </w:pPr>
      <w:r>
        <w:t xml:space="preserve">10. Recommendation</w:t>
      </w:r>
    </w:p>
    <w:p>
      <w:pPr>
        <w:pStyle w:val="FirstParagraph"/>
      </w:pPr>
      <w:r>
        <w:rPr>
          <w:b/>
          <w:bCs/>
        </w:rPr>
        <w:t xml:space="preserve">Decision</w:t>
      </w:r>
      <w:r>
        <w:t xml:space="preserve">: PASS (for venture investors); STRONG CONSIDER (for growth equity/public market investors)</w:t>
      </w:r>
    </w:p>
    <w:p>
      <w:pPr>
        <w:pStyle w:val="BodyText"/>
      </w:pPr>
      <w:r>
        <w:rPr>
          <w:b/>
          <w:bCs/>
        </w:rPr>
        <w:t xml:space="preserve">Rationale</w:t>
      </w:r>
      <w:r>
        <w:t xml:space="preserve">: Ontra demonstrates strong product-market fit with 800+ customers, 2M+ contracts processed, and validation from</w:t>
      </w:r>
      <w:r>
        <w:t xml:space="preserve"> </w:t>
      </w:r>
      <w:r>
        <w:rPr>
          <w:b/>
          <w:bCs/>
        </w:rPr>
        <w:t xml:space="preserve">Blackstone’s</w:t>
      </w:r>
      <w:r>
        <w:t xml:space="preserve"> </w:t>
      </w:r>
      <w:r>
        <w:t xml:space="preserve">$200M Series B</w:t>
      </w:r>
      <w:r>
        <w:rPr>
          <w:rStyle w:val="FootnoteReference"/>
        </w:rPr>
        <w:footnoteReference w:id="131"/>
      </w:r>
      <w:r>
        <w:rPr>
          <w:rStyle w:val="FootnoteReference"/>
        </w:rPr>
        <w:footnoteReference w:id="132"/>
      </w:r>
      <w:r>
        <w:t xml:space="preserve">. The proprietary dataset and Legal Network create defensible positioning in private markets legal tech. However, the company appears past primary venture stage given 10-year operating history, $270M+ raised, and growth-stage profile</w:t>
      </w:r>
      <w:r>
        <w:rPr>
          <w:rStyle w:val="FootnoteReference"/>
        </w:rPr>
        <w:footnoteReference w:id="133"/>
      </w:r>
      <w:r>
        <w:t xml:space="preserve">. Lack of disclosed unit economics, revenue, or path to profitability makes risk/return assessment difficult for venture investors. The opportunity is better suited for growth equity investors seeking exposure to legal tech with lower execution risk, or public market investors if company pursues IPO within 2-3 years.</w:t>
      </w:r>
    </w:p>
    <w:p>
      <w:pPr>
        <w:pStyle w:val="BodyText"/>
      </w:pPr>
      <w:r>
        <w:rPr>
          <w:b/>
          <w:bCs/>
        </w:rPr>
        <w:t xml:space="preserve">Next steps</w:t>
      </w:r>
      <w:r>
        <w:t xml:space="preserve">:</w:t>
      </w:r>
      <w:r>
        <w:t xml:space="preserve"> </w:t>
      </w:r>
      <w:r>
        <w:t xml:space="preserve">- Request unit economics (CAC, LTV, gross margins) and revenue trajectory to assess financial health</w:t>
      </w:r>
      <w:r>
        <w:t xml:space="preserve"> </w:t>
      </w:r>
      <w:r>
        <w:t xml:space="preserve">- Conduct reference calls with 5-10 customers to validate product stickiness and expansion potential</w:t>
      </w:r>
      <w:r>
        <w:t xml:space="preserve"> </w:t>
      </w:r>
      <w:r>
        <w:t xml:space="preserve">- Assess competitive positioning via third-party market research on CLM vendor landscape</w:t>
      </w:r>
      <w:r>
        <w:t xml:space="preserve"> </w:t>
      </w:r>
      <w:r>
        <w:t xml:space="preserve">- Evaluate CTO hire impact on product velocity and engineering culture</w:t>
      </w:r>
      <w:r>
        <w:t xml:space="preserve"> </w:t>
      </w:r>
      <w:r>
        <w:t xml:space="preserve">- Determine if follow-on round is anticipated within 12-18 months or if Series B provides sufficient runway to profitability</w:t>
      </w:r>
    </w:p>
    <w:p>
      <w:r>
        <w:pict>
          <v:rect style="width:0;height:1.5pt" o:hralign="center" o:hrstd="t" o:hr="t"/>
        </w:pict>
      </w:r>
    </w:p>
    <w:p>
      <w:pPr>
        <w:pStyle w:val="FirstParagraph"/>
      </w:pPr>
      <w:r>
        <w:rPr>
          <w:i/>
          <w:iCs/>
        </w:rPr>
        <w:t xml:space="preserve">Memo prepared by: Hypernova Capital Investment Team</w:t>
      </w:r>
      <w:r>
        <w:br/>
      </w:r>
      <w:r>
        <w:rPr>
          <w:i/>
          <w:iCs/>
        </w:rPr>
        <w:t xml:space="preserve">Date: November 2024</w:t>
      </w:r>
    </w:p>
    <w:p>
      <w:r>
        <w:pict>
          <v:rect style="width:0;height:1.5pt" o:hralign="center" o:hrstd="t" o:hr="t"/>
        </w:pict>
      </w:r>
    </w:p>
    <w:bookmarkStart w:id="134" w:name="citations"/>
    <w:p>
      <w:pPr>
        <w:pStyle w:val="Heading3"/>
      </w:pPr>
      <w:r>
        <w:t xml:space="preserve">Citations</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8">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9">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20">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21">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23">
    <w:p>
      <w:pPr>
        <w:pStyle w:val="FootnoteText"/>
      </w:pPr>
      <w:r>
        <w:rPr>
          <w:rStyle w:val="FootnoteReference"/>
        </w:rPr>
        <w:footnoteRef/>
      </w:r>
      <w:r>
        <w:t xml:space="preserve"> </w:t>
      </w:r>
      <w:r>
        <w:t xml:space="preserve">2024, Nov 01.</w:t>
      </w:r>
      <w:r>
        <w:t xml:space="preserve"> </w:t>
      </w:r>
      <w:hyperlink r:id="rId24">
        <w:r>
          <w:rPr>
            <w:rStyle w:val="Hyperlink"/>
          </w:rPr>
          <w:t xml:space="preserve">Ontra | Legal Tech Directory - The LegalTech Fund</w:t>
        </w:r>
      </w:hyperlink>
      <w:r>
        <w:t xml:space="preserve">. Published: 2024-11-01 | Updated: 2024-11-01</w:t>
      </w:r>
    </w:p>
  </w:footnote>
  <w:footnote w:id="2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26">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28">
    <w:p>
      <w:pPr>
        <w:pStyle w:val="FootnoteText"/>
      </w:pPr>
      <w:r>
        <w:rPr>
          <w:rStyle w:val="FootnoteReference"/>
        </w:rPr>
        <w:footnoteRef/>
      </w:r>
      <w:r>
        <w:t xml:space="preserve"> </w:t>
      </w:r>
      <w:r>
        <w:t xml:space="preserve">2024, Nov 10.</w:t>
      </w:r>
      <w:r>
        <w:t xml:space="preserve"> </w:t>
      </w:r>
      <w:hyperlink r:id="rId29">
        <w:r>
          <w:rPr>
            <w:rStyle w:val="Hyperlink"/>
          </w:rPr>
          <w:t xml:space="preserve">About Us: Legal Tech Providers for Private Markets | Ontra</w:t>
        </w:r>
      </w:hyperlink>
      <w:r>
        <w:t xml:space="preserve">. Published: 2024-11-10 | Updated: 2024-11-10</w:t>
      </w:r>
    </w:p>
  </w:footnote>
  <w:footnote w:id="30">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31">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32">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33">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34">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35">
    <w:p>
      <w:pPr>
        <w:pStyle w:val="FootnoteText"/>
      </w:pPr>
      <w:r>
        <w:rPr>
          <w:rStyle w:val="FootnoteReference"/>
        </w:rPr>
        <w:footnoteRef/>
      </w:r>
      <w:r>
        <w:t xml:space="preserve"> </w:t>
      </w:r>
      <w:r>
        <w:t xml:space="preserve">2024, Sep 30.</w:t>
      </w:r>
      <w:r>
        <w:t xml:space="preserve"> </w:t>
      </w:r>
      <w:hyperlink r:id="rId36">
        <w:r>
          <w:rPr>
            <w:rStyle w:val="Hyperlink"/>
          </w:rPr>
          <w:t xml:space="preserve">Legal Tech Solutions for Private Markets - Ontra</w:t>
        </w:r>
      </w:hyperlink>
      <w:r>
        <w:t xml:space="preserve">. Published: 2024-09-30 | Updated: 2024-09-30</w:t>
      </w:r>
    </w:p>
  </w:footnote>
  <w:footnote w:id="37">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38">
    <w:p>
      <w:pPr>
        <w:pStyle w:val="FootnoteText"/>
      </w:pPr>
      <w:r>
        <w:rPr>
          <w:rStyle w:val="FootnoteReference"/>
        </w:rPr>
        <w:footnoteRef/>
      </w:r>
      <w:r>
        <w:t xml:space="preserve"> </w:t>
      </w:r>
      <w:r>
        <w:t xml:space="preserve">2024, Nov 08.</w:t>
      </w:r>
      <w:r>
        <w:t xml:space="preserve"> </w:t>
      </w:r>
      <w:hyperlink r:id="rId39">
        <w:r>
          <w:rPr>
            <w:rStyle w:val="Hyperlink"/>
          </w:rPr>
          <w:t xml:space="preserve">Legal AI Software for General Counsel &amp; Legal Teams - Ontra</w:t>
        </w:r>
      </w:hyperlink>
      <w:r>
        <w:t xml:space="preserve">. Published: 2024-11-08 | Updated: 2024-11-08</w:t>
      </w:r>
    </w:p>
  </w:footnote>
  <w:footnote w:id="40">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41">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43">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44">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45">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52">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53">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55">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5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57">
    <w:p>
      <w:pPr>
        <w:pStyle w:val="FootnoteText"/>
      </w:pPr>
      <w:r>
        <w:rPr>
          <w:rStyle w:val="FootnoteReference"/>
        </w:rPr>
        <w:footnoteRef/>
      </w:r>
      <w:r>
        <w:t xml:space="preserve"> </w:t>
      </w:r>
      <w:r>
        <w:t xml:space="preserve">2024, Sep 30.</w:t>
      </w:r>
      <w:r>
        <w:t xml:space="preserve"> </w:t>
      </w:r>
      <w:hyperlink r:id="rId36">
        <w:r>
          <w:rPr>
            <w:rStyle w:val="Hyperlink"/>
          </w:rPr>
          <w:t xml:space="preserve">Legal Tech Solutions for Private Markets - Ontra</w:t>
        </w:r>
      </w:hyperlink>
      <w:r>
        <w:t xml:space="preserve">. Published: 2024-09-30 | Updated: 2024-09-30</w:t>
      </w:r>
    </w:p>
  </w:footnote>
  <w:footnote w:id="58">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59">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0">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1">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2">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3">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4">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65">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67">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68">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69">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70">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72">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73">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74">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7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7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77">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78">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79">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80">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81">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84">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8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86">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87">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89">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90">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92">
    <w:p>
      <w:pPr>
        <w:pStyle w:val="FootnoteText"/>
      </w:pPr>
      <w:r>
        <w:rPr>
          <w:rStyle w:val="FootnoteReference"/>
        </w:rPr>
        <w:footnoteRef/>
      </w:r>
      <w:r>
        <w:t xml:space="preserve"> </w:t>
      </w:r>
      <w:r>
        <w:t xml:space="preserve">2024, Nov 10.</w:t>
      </w:r>
      <w:r>
        <w:t xml:space="preserve"> </w:t>
      </w:r>
      <w:hyperlink r:id="rId29">
        <w:r>
          <w:rPr>
            <w:rStyle w:val="Hyperlink"/>
          </w:rPr>
          <w:t xml:space="preserve">About Us: Legal Tech Providers for Private Markets | Ontra</w:t>
        </w:r>
      </w:hyperlink>
      <w:r>
        <w:t xml:space="preserve">. Published: 2024-11-10 | Updated: 2024-11-10</w:t>
      </w:r>
    </w:p>
  </w:footnote>
  <w:footnote w:id="93">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94">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4">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7">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8">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09">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0">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1">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3">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4">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17">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18">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19">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20">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22">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23">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24">
    <w:p>
      <w:pPr>
        <w:pStyle w:val="FootnoteText"/>
      </w:pPr>
      <w:r>
        <w:rPr>
          <w:rStyle w:val="FootnoteReference"/>
        </w:rPr>
        <w:footnoteRef/>
      </w:r>
      <w:r>
        <w:t xml:space="preserve"> </w:t>
      </w:r>
      <w:r>
        <w:t xml:space="preserve">2024, Nov 10.</w:t>
      </w:r>
      <w:r>
        <w:t xml:space="preserve"> </w:t>
      </w:r>
      <w:hyperlink r:id="rId29">
        <w:r>
          <w:rPr>
            <w:rStyle w:val="Hyperlink"/>
          </w:rPr>
          <w:t xml:space="preserve">About Us: Legal Tech Providers for Private Markets | Ontra</w:t>
        </w:r>
      </w:hyperlink>
      <w:r>
        <w:t xml:space="preserve">. Published: 2024-11-10 | Updated: 2024-11-10</w:t>
      </w:r>
    </w:p>
  </w:footnote>
  <w:footnote w:id="125">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26">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27">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28">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29">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31">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 w:id="132">
    <w:p>
      <w:pPr>
        <w:pStyle w:val="FootnoteText"/>
      </w:pPr>
      <w:r>
        <w:rPr>
          <w:rStyle w:val="FootnoteReference"/>
        </w:rPr>
        <w:footnoteRef/>
      </w:r>
      <w:r>
        <w:t xml:space="preserve"> </w:t>
      </w:r>
      <w:r>
        <w:t xml:space="preserve">2024, Nov 15.</w:t>
      </w:r>
      <w:r>
        <w:t xml:space="preserve"> </w:t>
      </w:r>
      <w:hyperlink r:id="rId12">
        <w:r>
          <w:rPr>
            <w:rStyle w:val="Hyperlink"/>
          </w:rPr>
          <w:t xml:space="preserve">AI-Powered Contract Automation for Private Markets | Ontra</w:t>
        </w:r>
      </w:hyperlink>
      <w:r>
        <w:t xml:space="preserve">. Published: 2024-11-15 | Updated: 2024-11-15</w:t>
      </w:r>
    </w:p>
  </w:footnote>
  <w:footnote w:id="133">
    <w:p>
      <w:pPr>
        <w:pStyle w:val="FootnoteText"/>
      </w:pPr>
      <w:r>
        <w:rPr>
          <w:rStyle w:val="FootnoteReference"/>
        </w:rPr>
        <w:footnoteRef/>
      </w:r>
      <w:r>
        <w:t xml:space="preserve"> </w:t>
      </w:r>
      <w:r>
        <w:t xml:space="preserve">2024, Oct 10.</w:t>
      </w:r>
      <w:r>
        <w:t xml:space="preserve"> </w:t>
      </w:r>
      <w:hyperlink r:id="rId16">
        <w:r>
          <w:rPr>
            <w:rStyle w:val="Hyperlink"/>
          </w:rPr>
          <w:t xml:space="preserve">Ontra company information, funding &amp; investors | Dealroom.co</w:t>
        </w:r>
      </w:hyperlink>
      <w:r>
        <w:t xml:space="preserve">. Published: 2024-10-10 | Updated: 2024-10-20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49" Target="https://agiloft.com" TargetMode="External" /><Relationship Type="http://schemas.openxmlformats.org/officeDocument/2006/relationships/hyperlink" Id="rId96" Target="https://amplitude.com" TargetMode="External" /><Relationship Type="http://schemas.openxmlformats.org/officeDocument/2006/relationships/hyperlink" Id="rId16" Target="https://app.dealroom.co/companies/incloudcounsel" TargetMode="External" /><Relationship Type="http://schemas.openxmlformats.org/officeDocument/2006/relationships/hyperlink" Id="rId51" Target="https://docusign.com/products/clm" TargetMode="External" /><Relationship Type="http://schemas.openxmlformats.org/officeDocument/2006/relationships/hyperlink" Id="rId48" Target="https://evisort.com" TargetMode="External" /><Relationship Type="http://schemas.openxmlformats.org/officeDocument/2006/relationships/hyperlink" Id="rId50" Target="https://icertis.com" TargetMode="External" /><Relationship Type="http://schemas.openxmlformats.org/officeDocument/2006/relationships/hyperlink" Id="rId46" Target="https://ironcladapp.com" TargetMode="External" /><Relationship Type="http://schemas.openxmlformats.org/officeDocument/2006/relationships/hyperlink" Id="rId27" Target="https://linkedin.com/in/troyp" TargetMode="External" /><Relationship Type="http://schemas.openxmlformats.org/officeDocument/2006/relationships/hyperlink" Id="rId47" Target="https://linksquares.com" TargetMode="External" /><Relationship Type="http://schemas.openxmlformats.org/officeDocument/2006/relationships/hyperlink" Id="rId98" Target="https://tealium.com" TargetMode="External" /><Relationship Type="http://schemas.openxmlformats.org/officeDocument/2006/relationships/hyperlink" Id="rId24" Target="https://tltf.com/directory/companies/ontra" TargetMode="External" /><Relationship Type="http://schemas.openxmlformats.org/officeDocument/2006/relationships/hyperlink" Id="rId102" Target="https://www.appfolio.com" TargetMode="External" /><Relationship Type="http://schemas.openxmlformats.org/officeDocument/2006/relationships/hyperlink" Id="rId99" Target="https://www.axiomlaw.com" TargetMode="External" /><Relationship Type="http://schemas.openxmlformats.org/officeDocument/2006/relationships/hyperlink" Id="rId82" Target="https://www.battery.com" TargetMode="External" /><Relationship Type="http://schemas.openxmlformats.org/officeDocument/2006/relationships/hyperlink" Id="rId17" Target="https://www.blackstone.com" TargetMode="External" /><Relationship Type="http://schemas.openxmlformats.org/officeDocument/2006/relationships/hyperlink" Id="rId101" Target="https://www.c2fo.com" TargetMode="External" /><Relationship Type="http://schemas.openxmlformats.org/officeDocument/2006/relationships/hyperlink" Id="rId100" Target="https://www.hp.com" TargetMode="External" /><Relationship Type="http://schemas.openxmlformats.org/officeDocument/2006/relationships/hyperlink" Id="rId95" Target="https://www.linkedin.com/in/benjamin-levi-2338b5/" TargetMode="External" /><Relationship Type="http://schemas.openxmlformats.org/officeDocument/2006/relationships/hyperlink" Id="rId88" Target="https://www.linkedin.com/in/eric-hawkins-5846b23/" TargetMode="External" /><Relationship Type="http://schemas.openxmlformats.org/officeDocument/2006/relationships/hyperlink" Id="rId97" Target="https://www.linkedin.com/in/toddedoherty/" TargetMode="External" /><Relationship Type="http://schemas.openxmlformats.org/officeDocument/2006/relationships/hyperlink" Id="rId12" Target="https://www.ontra.ai" TargetMode="External" /><Relationship Type="http://schemas.openxmlformats.org/officeDocument/2006/relationships/hyperlink" Id="rId29" Target="https://www.ontra.ai/about-us/" TargetMode="External" /><Relationship Type="http://schemas.openxmlformats.org/officeDocument/2006/relationships/hyperlink" Id="rId36" Target="https://www.ontra.ai/resource/video/products-explainer-video/" TargetMode="External" /><Relationship Type="http://schemas.openxmlformats.org/officeDocument/2006/relationships/hyperlink" Id="rId39" Target="https://www.ontra.ai/solutions/legal/" TargetMode="External" /><Relationship Type="http://schemas.openxmlformats.org/officeDocument/2006/relationships/hyperlink" Id="rId83" Target="https://www.svb.com" TargetMode="External" /></Relationships>
</file>

<file path=word/_rels/footnotes.xml.rels><?xml version="1.0" encoding="UTF-8"?><Relationships xmlns="http://schemas.openxmlformats.org/package/2006/relationships"><Relationship Type="http://schemas.openxmlformats.org/officeDocument/2006/relationships/hyperlink" Id="rId49" Target="https://agiloft.com" TargetMode="External" /><Relationship Type="http://schemas.openxmlformats.org/officeDocument/2006/relationships/hyperlink" Id="rId96" Target="https://amplitude.com" TargetMode="External" /><Relationship Type="http://schemas.openxmlformats.org/officeDocument/2006/relationships/hyperlink" Id="rId16" Target="https://app.dealroom.co/companies/incloudcounsel" TargetMode="External" /><Relationship Type="http://schemas.openxmlformats.org/officeDocument/2006/relationships/hyperlink" Id="rId51" Target="https://docusign.com/products/clm" TargetMode="External" /><Relationship Type="http://schemas.openxmlformats.org/officeDocument/2006/relationships/hyperlink" Id="rId48" Target="https://evisort.com" TargetMode="External" /><Relationship Type="http://schemas.openxmlformats.org/officeDocument/2006/relationships/hyperlink" Id="rId50" Target="https://icertis.com" TargetMode="External" /><Relationship Type="http://schemas.openxmlformats.org/officeDocument/2006/relationships/hyperlink" Id="rId46" Target="https://ironcladapp.com" TargetMode="External" /><Relationship Type="http://schemas.openxmlformats.org/officeDocument/2006/relationships/hyperlink" Id="rId27" Target="https://linkedin.com/in/troyp" TargetMode="External" /><Relationship Type="http://schemas.openxmlformats.org/officeDocument/2006/relationships/hyperlink" Id="rId47" Target="https://linksquares.com" TargetMode="External" /><Relationship Type="http://schemas.openxmlformats.org/officeDocument/2006/relationships/hyperlink" Id="rId98" Target="https://tealium.com" TargetMode="External" /><Relationship Type="http://schemas.openxmlformats.org/officeDocument/2006/relationships/hyperlink" Id="rId24" Target="https://tltf.com/directory/companies/ontra" TargetMode="External" /><Relationship Type="http://schemas.openxmlformats.org/officeDocument/2006/relationships/hyperlink" Id="rId102" Target="https://www.appfolio.com" TargetMode="External" /><Relationship Type="http://schemas.openxmlformats.org/officeDocument/2006/relationships/hyperlink" Id="rId99" Target="https://www.axiomlaw.com" TargetMode="External" /><Relationship Type="http://schemas.openxmlformats.org/officeDocument/2006/relationships/hyperlink" Id="rId82" Target="https://www.battery.com" TargetMode="External" /><Relationship Type="http://schemas.openxmlformats.org/officeDocument/2006/relationships/hyperlink" Id="rId17" Target="https://www.blackstone.com" TargetMode="External" /><Relationship Type="http://schemas.openxmlformats.org/officeDocument/2006/relationships/hyperlink" Id="rId101" Target="https://www.c2fo.com" TargetMode="External" /><Relationship Type="http://schemas.openxmlformats.org/officeDocument/2006/relationships/hyperlink" Id="rId100" Target="https://www.hp.com" TargetMode="External" /><Relationship Type="http://schemas.openxmlformats.org/officeDocument/2006/relationships/hyperlink" Id="rId95" Target="https://www.linkedin.com/in/benjamin-levi-2338b5/" TargetMode="External" /><Relationship Type="http://schemas.openxmlformats.org/officeDocument/2006/relationships/hyperlink" Id="rId88" Target="https://www.linkedin.com/in/eric-hawkins-5846b23/" TargetMode="External" /><Relationship Type="http://schemas.openxmlformats.org/officeDocument/2006/relationships/hyperlink" Id="rId97" Target="https://www.linkedin.com/in/toddedoherty/" TargetMode="External" /><Relationship Type="http://schemas.openxmlformats.org/officeDocument/2006/relationships/hyperlink" Id="rId12" Target="https://www.ontra.ai" TargetMode="External" /><Relationship Type="http://schemas.openxmlformats.org/officeDocument/2006/relationships/hyperlink" Id="rId29" Target="https://www.ontra.ai/about-us/" TargetMode="External" /><Relationship Type="http://schemas.openxmlformats.org/officeDocument/2006/relationships/hyperlink" Id="rId36" Target="https://www.ontra.ai/resource/video/products-explainer-video/" TargetMode="External" /><Relationship Type="http://schemas.openxmlformats.org/officeDocument/2006/relationships/hyperlink" Id="rId39" Target="https://www.ontra.ai/solutions/legal/" TargetMode="External" /><Relationship Type="http://schemas.openxmlformats.org/officeDocument/2006/relationships/hyperlink" Id="rId83" Target="https://www.sv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2025-11-17T16:28:57Z</dcterms:created>
  <dcterms:modified xsi:type="dcterms:W3CDTF">2025-11-17T16:28:57Z</dcterms:modified>
</cp:coreProperties>
</file>

<file path=docProps/custom.xml><?xml version="1.0" encoding="utf-8"?>
<Properties xmlns="http://schemas.openxmlformats.org/officeDocument/2006/custom-properties" xmlns:vt="http://schemas.openxmlformats.org/officeDocument/2006/docPropsVTypes"/>
</file>