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investment-memo-trela"/>
    <w:p>
      <w:pPr>
        <w:pStyle w:val="Heading1"/>
      </w:pPr>
      <w:r>
        <w:t xml:space="preserve">Investment Memo: Trela</w:t>
      </w:r>
    </w:p>
    <w:bookmarkStart w:id="12" w:name="company-trela-formerly-zapt"/>
    <w:p>
      <w:pPr>
        <w:pStyle w:val="Heading2"/>
      </w:pPr>
      <w:r>
        <w:t xml:space="preserve">Company: Trela (formerly Zapt)</w:t>
      </w:r>
    </w:p>
    <w:p>
      <w:pPr>
        <w:pStyle w:val="FirstParagraph"/>
      </w:pPr>
      <w:r>
        <w:t xml:space="preserve">Trela Logo</w:t>
      </w:r>
      <w:r>
        <w:t xml:space="preserve"> </w:t>
      </w:r>
      <w:r>
        <w:rPr>
          <w:i/>
          <w:iCs/>
        </w:rPr>
        <w:t xml:space="preserve">Trela company logo</w:t>
      </w:r>
      <w:r>
        <w:rPr>
          <w:rStyle w:val="FootnoteReference"/>
        </w:rPr>
        <w:footnoteReference w:id="9"/>
      </w:r>
    </w:p>
    <w:p>
      <w:pPr>
        <w:pStyle w:val="BodyText"/>
      </w:pPr>
      <w:r>
        <w:rPr>
          <w:b/>
          <w:bCs/>
        </w:rPr>
        <w:t xml:space="preserve">Stage</w:t>
      </w:r>
      <w:r>
        <w:t xml:space="preserve">: Series A (Completed)</w:t>
      </w:r>
      <w:r>
        <w:br/>
      </w:r>
      <w:r>
        <w:rPr>
          <w:b/>
          <w:bCs/>
        </w:rPr>
        <w:t xml:space="preserve">Location</w:t>
      </w:r>
      <w:r>
        <w:t xml:space="preserve">: São Paulo, Brazil</w:t>
      </w:r>
      <w:r>
        <w:br/>
      </w:r>
      <w:r>
        <w:rPr>
          <w:b/>
          <w:bCs/>
        </w:rPr>
        <w:t xml:space="preserve">Website</w:t>
      </w:r>
      <w:r>
        <w:t xml:space="preserve">:</w:t>
      </w:r>
      <w:r>
        <w:t xml:space="preserve"> </w:t>
      </w:r>
      <w:hyperlink r:id="rId11">
        <w:r>
          <w:rPr>
            <w:rStyle w:val="Hyperlink"/>
          </w:rPr>
          <w:t xml:space="preserve">Trela</w:t>
        </w:r>
      </w:hyperlink>
      <w:r>
        <w:br/>
      </w:r>
      <w:r>
        <w:rPr>
          <w:b/>
          <w:bCs/>
        </w:rPr>
        <w:t xml:space="preserve">Date</w:t>
      </w:r>
      <w:r>
        <w:t xml:space="preserve">: November 2024</w:t>
      </w:r>
    </w:p>
    <w:p>
      <w:r>
        <w:pict>
          <v:rect style="width:0;height:1.5pt" o:hralign="center" o:hrstd="t" o:hr="t"/>
        </w:pict>
      </w:r>
    </w:p>
    <w:bookmarkEnd w:id="12"/>
    <w:bookmarkStart w:id="27" w:name="executive-summary"/>
    <w:p>
      <w:pPr>
        <w:pStyle w:val="Heading2"/>
      </w:pPr>
      <w:r>
        <w:t xml:space="preserve">1. Executive Summary</w:t>
      </w:r>
    </w:p>
    <w:p>
      <w:pPr>
        <w:pStyle w:val="FirstParagraph"/>
      </w:pPr>
      <w:r>
        <w:t xml:space="preserve">Trela operates an end-to-end marketplace connecting healthy grocery suppliers directly to consumers in São Paulo, Brazil, organizing group purchases among neighbors in apartment buildings and condominiums</w:t>
      </w:r>
      <w:r>
        <w:rPr>
          <w:rStyle w:val="FootnoteReference"/>
        </w:rPr>
        <w:footnoteReference w:id="13"/>
      </w:r>
      <w:r>
        <w:rPr>
          <w:rStyle w:val="FootnoteReference"/>
        </w:rPr>
        <w:footnoteReference w:id="15"/>
      </w:r>
      <w:r>
        <w:t xml:space="preserve">. Founded in 2020 and accelerated by</w:t>
      </w:r>
      <w:r>
        <w:t xml:space="preserve"> </w:t>
      </w:r>
      <w:hyperlink r:id="rId10">
        <w:r>
          <w:rPr>
            <w:rStyle w:val="Hyperlink"/>
          </w:rPr>
          <w:t xml:space="preserve">Y Combinator</w:t>
        </w:r>
      </w:hyperlink>
      <w:r>
        <w:t xml:space="preserve"> </w:t>
      </w:r>
      <w:r>
        <w:t xml:space="preserve">(Q1 2021), the company has raised $41M total ($16M Seed from</w:t>
      </w:r>
      <w:r>
        <w:t xml:space="preserve"> </w:t>
      </w:r>
      <w:hyperlink r:id="rId16">
        <w:r>
          <w:rPr>
            <w:rStyle w:val="Hyperlink"/>
          </w:rPr>
          <w:t xml:space="preserve">Kaszek</w:t>
        </w:r>
      </w:hyperlink>
      <w:r>
        <w:t xml:space="preserve"> </w:t>
      </w:r>
      <w:r>
        <w:t xml:space="preserve">and</w:t>
      </w:r>
      <w:r>
        <w:t xml:space="preserve"> </w:t>
      </w:r>
      <w:hyperlink r:id="rId17">
        <w:r>
          <w:rPr>
            <w:rStyle w:val="Hyperlink"/>
          </w:rPr>
          <w:t xml:space="preserve">General Catalyst</w:t>
        </w:r>
      </w:hyperlink>
      <w:r>
        <w:t xml:space="preserve"> </w:t>
      </w:r>
      <w:r>
        <w:t xml:space="preserve">in 2021; $25M Series A led by</w:t>
      </w:r>
      <w:r>
        <w:t xml:space="preserve"> </w:t>
      </w:r>
      <w:hyperlink r:id="rId18">
        <w:r>
          <w:rPr>
            <w:rStyle w:val="Hyperlink"/>
          </w:rPr>
          <w:t xml:space="preserve">SoftBank</w:t>
        </w:r>
      </w:hyperlink>
      <w:r>
        <w:t xml:space="preserve"> </w:t>
      </w:r>
      <w:r>
        <w:t xml:space="preserve">in March 2022)</w:t>
      </w:r>
      <w:r>
        <w:rPr>
          <w:rStyle w:val="FootnoteReference"/>
        </w:rPr>
        <w:footnoteReference w:id="19"/>
      </w:r>
      <w:r>
        <w:rPr>
          <w:rStyle w:val="FootnoteReference"/>
        </w:rPr>
        <w:footnoteReference w:id="20"/>
      </w:r>
      <w:r>
        <w:t xml:space="preserve">. The business model eliminates traditional grocery middlemen by coordinating collective purchasing through WhatsApp groups and implementing just-in-time supply chains to maximize freshness</w:t>
      </w:r>
      <w:r>
        <w:rPr>
          <w:rStyle w:val="FootnoteReference"/>
        </w:rPr>
        <w:footnoteReference w:id="21"/>
      </w:r>
      <w:r>
        <w:t xml:space="preserve">.</w:t>
      </w:r>
    </w:p>
    <w:p>
      <w:pPr>
        <w:pStyle w:val="BodyText"/>
      </w:pPr>
      <w:r>
        <w:t xml:space="preserve">The company claims the highest Net Promoter Score (NPS) of any consumer app in Brazil and any grocer worldwide, though specific figures are not disclosed</w:t>
      </w:r>
      <w:r>
        <w:rPr>
          <w:rStyle w:val="FootnoteReference"/>
        </w:rPr>
        <w:footnoteReference w:id="22"/>
      </w:r>
      <w:r>
        <w:t xml:space="preserve">. Trela has scaled to approximately 98 employees since founding</w:t>
      </w:r>
      <w:r>
        <w:rPr>
          <w:rStyle w:val="FootnoteReference"/>
        </w:rPr>
        <w:footnoteReference w:id="23"/>
      </w:r>
      <w:r>
        <w:rPr>
          <w:rStyle w:val="FootnoteReference"/>
        </w:rPr>
        <w:footnoteReference w:id="24"/>
      </w:r>
      <w:r>
        <w:t xml:space="preserve">, but lacks publicly available revenue, customer count, or unit economics data. The company is currently testing a logistics partner model that would shift delivery responsibility from suppliers to third parties with higher fees</w:t>
      </w:r>
      <w:r>
        <w:rPr>
          <w:rStyle w:val="FootnoteReference"/>
        </w:rPr>
        <w:footnoteReference w:id="25"/>
      </w:r>
      <w:r>
        <w:t xml:space="preserve">.</w:t>
      </w:r>
    </w:p>
    <w:p>
      <w:pPr>
        <w:pStyle w:val="BodyText"/>
      </w:pPr>
      <w:r>
        <w:rPr>
          <w:b/>
          <w:bCs/>
        </w:rPr>
        <w:t xml:space="preserve">Key concerns</w:t>
      </w:r>
      <w:r>
        <w:t xml:space="preserve">: Limited financial transparency, concentration in single geography (São Paulo), reliance on supplier-managed logistics, and competitive dynamics in Latin American grocery delivery remain unclear</w:t>
      </w:r>
      <w:r>
        <w:rPr>
          <w:rStyle w:val="FootnoteReference"/>
        </w:rPr>
        <w:footnoteReference w:id="26"/>
      </w:r>
      <w:r>
        <w:t xml:space="preserve">. This memo recommends</w:t>
      </w:r>
      <w:r>
        <w:t xml:space="preserve"> </w:t>
      </w:r>
      <w:r>
        <w:rPr>
          <w:b/>
          <w:bCs/>
        </w:rPr>
        <w:t xml:space="preserve">PASS</w:t>
      </w:r>
      <w:r>
        <w:t xml:space="preserve"> </w:t>
      </w:r>
      <w:r>
        <w:t xml:space="preserve">on follow-on investment given insufficient data for proper valuation assessment and unclear path to profitability in a capital-intensive grocery delivery market.</w:t>
      </w:r>
    </w:p>
    <w:p>
      <w:r>
        <w:pict>
          <v:rect style="width:0;height:1.5pt" o:hralign="center" o:hrstd="t" o:hr="t"/>
        </w:pict>
      </w:r>
    </w:p>
    <w:bookmarkEnd w:id="27"/>
    <w:bookmarkStart w:id="34" w:name="business-overview"/>
    <w:p>
      <w:pPr>
        <w:pStyle w:val="Heading2"/>
      </w:pPr>
      <w:r>
        <w:t xml:space="preserve">2. Business Overview</w:t>
      </w:r>
    </w:p>
    <w:p>
      <w:pPr>
        <w:pStyle w:val="FirstParagraph"/>
      </w:pPr>
      <w:r>
        <w:rPr>
          <w:b/>
          <w:bCs/>
        </w:rPr>
        <w:t xml:space="preserve">What they do</w:t>
      </w:r>
      <w:r>
        <w:t xml:space="preserve">: Trela operates a social commerce marketplace that organizes group grocery purchases among neighbors in Brazilian apartment buildings, connecting healthy food suppliers directly to consumers</w:t>
      </w:r>
      <w:r>
        <w:rPr>
          <w:rStyle w:val="FootnoteReference"/>
        </w:rPr>
        <w:footnoteReference w:id="28"/>
      </w:r>
      <w:r>
        <w:t xml:space="preserve">.</w:t>
      </w:r>
    </w:p>
    <w:p>
      <w:pPr>
        <w:pStyle w:val="BodyText"/>
      </w:pPr>
      <w:r>
        <w:rPr>
          <w:b/>
          <w:bCs/>
        </w:rPr>
        <w:t xml:space="preserve">Problem they solve</w:t>
      </w:r>
      <w:r>
        <w:t xml:space="preserve">: Traditional grocery shopping in Brazil involves multiple intermediaries, reducing freshness and increasing costs, while small healthy food suppliers struggle to reach consumers economically</w:t>
      </w:r>
      <w:r>
        <w:rPr>
          <w:rStyle w:val="FootnoteReference"/>
        </w:rPr>
        <w:footnoteReference w:id="29"/>
      </w:r>
      <w:r>
        <w:t xml:space="preserve">.</w:t>
      </w:r>
    </w:p>
    <w:p>
      <w:pPr>
        <w:pStyle w:val="BodyText"/>
      </w:pPr>
      <w:r>
        <w:rPr>
          <w:b/>
          <w:bCs/>
        </w:rPr>
        <w:t xml:space="preserve">Solution approach</w:t>
      </w:r>
      <w:r>
        <w:t xml:space="preserve">: Trela creates WhatsApp-based purchasing groups, aggregating demand to justify direct deliveries from suppliers, eliminating middlemen, and maximizing freshness while reducing costs</w:t>
      </w:r>
      <w:r>
        <w:rPr>
          <w:rStyle w:val="FootnoteReference"/>
        </w:rPr>
        <w:footnoteReference w:id="30"/>
      </w:r>
      <w:r>
        <w:t xml:space="preserve">. The social element generates organic growth through neighbor referrals</w:t>
      </w:r>
      <w:r>
        <w:rPr>
          <w:rStyle w:val="FootnoteReference"/>
        </w:rPr>
        <w:footnoteReference w:id="31"/>
      </w:r>
      <w:r>
        <w:t xml:space="preserve">.</w:t>
      </w:r>
    </w:p>
    <w:p>
      <w:pPr>
        <w:pStyle w:val="BodyText"/>
      </w:pPr>
      <w:r>
        <w:rPr>
          <w:b/>
          <w:bCs/>
        </w:rPr>
        <w:t xml:space="preserve">Business model</w:t>
      </w:r>
      <w:r>
        <w:t xml:space="preserve">: Marketplace connecting suppliers to consumer groups. Revenue model not publicly disclosed, but likely includes transaction commissions, supplier fees, or product markups</w:t>
      </w:r>
      <w:r>
        <w:rPr>
          <w:rStyle w:val="FootnoteReference"/>
        </w:rPr>
        <w:footnoteReference w:id="32"/>
      </w:r>
      <w:r>
        <w:t xml:space="preserve">. Currently suppliers handle their own deliveries; the company is testing a logistics partner model</w:t>
      </w:r>
      <w:r>
        <w:rPr>
          <w:rStyle w:val="FootnoteReference"/>
        </w:rPr>
        <w:footnoteReference w:id="33"/>
      </w:r>
      <w:r>
        <w:t xml:space="preserve">.</w:t>
      </w:r>
    </w:p>
    <w:p>
      <w:r>
        <w:pict>
          <v:rect style="width:0;height:1.5pt" o:hralign="center" o:hrstd="t" o:hr="t"/>
        </w:pict>
      </w:r>
    </w:p>
    <w:bookmarkEnd w:id="34"/>
    <w:bookmarkStart w:id="50" w:name="market-context"/>
    <w:p>
      <w:pPr>
        <w:pStyle w:val="Heading2"/>
      </w:pPr>
      <w:r>
        <w:t xml:space="preserve">3. Market Context</w:t>
      </w:r>
    </w:p>
    <w:p>
      <w:pPr>
        <w:pStyle w:val="FirstParagraph"/>
      </w:pPr>
      <w:r>
        <w:rPr>
          <w:b/>
          <w:bCs/>
        </w:rPr>
        <w:t xml:space="preserve">Total Addressable Market (TAM)</w:t>
      </w:r>
      <w:r>
        <w:t xml:space="preserve">: The Brazilian grocery market represents approximately $180B annually (Source: Euromonitor 2023), with e-commerce penetration at ~6% ($10.8B). The organic and healthy food segment is growing faster than conventional groceries</w:t>
      </w:r>
      <w:r>
        <w:rPr>
          <w:rStyle w:val="FootnoteReference"/>
        </w:rPr>
        <w:footnoteReference w:id="35"/>
      </w:r>
      <w:r>
        <w:t xml:space="preserve">.</w:t>
      </w:r>
    </w:p>
    <w:p>
      <w:pPr>
        <w:pStyle w:val="BodyText"/>
      </w:pPr>
      <w:r>
        <w:rPr>
          <w:b/>
          <w:bCs/>
        </w:rPr>
        <w:t xml:space="preserve">Market dynamics</w:t>
      </w:r>
      <w:r>
        <w:t xml:space="preserve">:</w:t>
      </w:r>
      <w:r>
        <w:t xml:space="preserve"> </w:t>
      </w:r>
      <w:r>
        <w:t xml:space="preserve">-</w:t>
      </w:r>
      <w:r>
        <w:t xml:space="preserve"> </w:t>
      </w:r>
      <w:r>
        <w:rPr>
          <w:b/>
          <w:bCs/>
        </w:rPr>
        <w:t xml:space="preserve">Urban density advantage</w:t>
      </w:r>
      <w:r>
        <w:t xml:space="preserve">: São Paulo’s high-rise living enables cost-effective group deliveries</w:t>
      </w:r>
      <w:r>
        <w:rPr>
          <w:rStyle w:val="FootnoteReference"/>
        </w:rPr>
        <w:footnoteReference w:id="36"/>
      </w:r>
      <w:r>
        <w:t xml:space="preserve">.</w:t>
      </w:r>
      <w:r>
        <w:t xml:space="preserve"> </w:t>
      </w:r>
      <w:r>
        <w:t xml:space="preserve">-</w:t>
      </w:r>
      <w:r>
        <w:t xml:space="preserve"> </w:t>
      </w:r>
      <w:r>
        <w:rPr>
          <w:b/>
          <w:bCs/>
        </w:rPr>
        <w:t xml:space="preserve">Healthy food demand</w:t>
      </w:r>
      <w:r>
        <w:t xml:space="preserve">: Rising middle class in Brazil prioritizes organic and healthy foods, though price sensitivity is high</w:t>
      </w:r>
      <w:r>
        <w:rPr>
          <w:rStyle w:val="FootnoteReference"/>
        </w:rPr>
        <w:footnoteReference w:id="37"/>
      </w:r>
      <w:r>
        <w:t xml:space="preserve">.</w:t>
      </w:r>
      <w:r>
        <w:t xml:space="preserve"> </w:t>
      </w:r>
      <w:r>
        <w:t xml:space="preserve">-</w:t>
      </w:r>
      <w:r>
        <w:t xml:space="preserve"> </w:t>
      </w:r>
      <w:r>
        <w:rPr>
          <w:b/>
          <w:bCs/>
        </w:rPr>
        <w:t xml:space="preserve">WhatsApp penetration</w:t>
      </w:r>
      <w:r>
        <w:t xml:space="preserve">: Brazil has 147M WhatsApp users, making it the dominant communication platform</w:t>
      </w:r>
      <w:r>
        <w:rPr>
          <w:rStyle w:val="FootnoteReference"/>
        </w:rPr>
        <w:footnoteReference w:id="38"/>
      </w:r>
      <w:r>
        <w:t xml:space="preserve">.</w:t>
      </w:r>
      <w:r>
        <w:t xml:space="preserve"> </w:t>
      </w:r>
      <w:r>
        <w:t xml:space="preserve">-</w:t>
      </w:r>
      <w:r>
        <w:t xml:space="preserve"> </w:t>
      </w:r>
      <w:r>
        <w:rPr>
          <w:b/>
          <w:bCs/>
        </w:rPr>
        <w:t xml:space="preserve">Fragmented supply</w:t>
      </w:r>
      <w:r>
        <w:t xml:space="preserve">: Small-scale healthy food producers lack distribution, creating aggregation opportunities</w:t>
      </w:r>
      <w:r>
        <w:rPr>
          <w:rStyle w:val="FootnoteReference"/>
        </w:rPr>
        <w:footnoteReference w:id="39"/>
      </w:r>
      <w:r>
        <w:t xml:space="preserve">.</w:t>
      </w:r>
    </w:p>
    <w:p>
      <w:pPr>
        <w:pStyle w:val="BodyText"/>
      </w:pPr>
      <w:r>
        <w:rPr>
          <w:b/>
          <w:bCs/>
        </w:rPr>
        <w:t xml:space="preserve">Competitive landscape</w:t>
      </w:r>
      <w:r>
        <w:t xml:space="preserve">:</w:t>
      </w:r>
      <w:r>
        <w:t xml:space="preserve"> </w:t>
      </w:r>
      <w:r>
        <w:t xml:space="preserve">-</w:t>
      </w:r>
      <w:r>
        <w:t xml:space="preserve"> </w:t>
      </w:r>
      <w:r>
        <w:rPr>
          <w:b/>
          <w:bCs/>
        </w:rPr>
        <w:t xml:space="preserve">Direct competitors</w:t>
      </w:r>
      <w:r>
        <w:t xml:space="preserve">: Major Brazilian grocery delivery includes players like</w:t>
      </w:r>
      <w:r>
        <w:t xml:space="preserve"> </w:t>
      </w:r>
      <w:hyperlink r:id="rId40">
        <w:r>
          <w:rPr>
            <w:rStyle w:val="Hyperlink"/>
          </w:rPr>
          <w:t xml:space="preserve">Rappi</w:t>
        </w:r>
      </w:hyperlink>
      <w:r>
        <w:t xml:space="preserve">,</w:t>
      </w:r>
      <w:r>
        <w:t xml:space="preserve"> </w:t>
      </w:r>
      <w:hyperlink r:id="rId41">
        <w:r>
          <w:rPr>
            <w:rStyle w:val="Hyperlink"/>
          </w:rPr>
          <w:t xml:space="preserve">Cornershop (Uber)</w:t>
        </w:r>
      </w:hyperlink>
      <w:r>
        <w:t xml:space="preserve">, and</w:t>
      </w:r>
      <w:r>
        <w:t xml:space="preserve"> </w:t>
      </w:r>
      <w:hyperlink r:id="rId42">
        <w:r>
          <w:rPr>
            <w:rStyle w:val="Hyperlink"/>
          </w:rPr>
          <w:t xml:space="preserve">iFood</w:t>
        </w:r>
      </w:hyperlink>
      <w:r>
        <w:rPr>
          <w:rStyle w:val="FootnoteReference"/>
        </w:rPr>
        <w:footnoteReference w:id="43"/>
      </w:r>
      <w:r>
        <w:t xml:space="preserve">. These focus on traditional groceries, not necessarily healthy/organic specialization.</w:t>
      </w:r>
      <w:r>
        <w:t xml:space="preserve"> </w:t>
      </w:r>
      <w:r>
        <w:t xml:space="preserve">-</w:t>
      </w:r>
      <w:r>
        <w:t xml:space="preserve"> </w:t>
      </w:r>
      <w:r>
        <w:rPr>
          <w:b/>
          <w:bCs/>
        </w:rPr>
        <w:t xml:space="preserve">Indirect alternatives</w:t>
      </w:r>
      <w:r>
        <w:t xml:space="preserve">: Traditional supermarkets (</w:t>
      </w:r>
      <w:hyperlink r:id="rId44">
        <w:r>
          <w:rPr>
            <w:rStyle w:val="Hyperlink"/>
          </w:rPr>
          <w:t xml:space="preserve">Pão de Açúcar</w:t>
        </w:r>
      </w:hyperlink>
      <w:r>
        <w:t xml:space="preserve">,</w:t>
      </w:r>
      <w:r>
        <w:t xml:space="preserve"> </w:t>
      </w:r>
      <w:hyperlink r:id="rId45">
        <w:r>
          <w:rPr>
            <w:rStyle w:val="Hyperlink"/>
          </w:rPr>
          <w:t xml:space="preserve">Carrefour</w:t>
        </w:r>
      </w:hyperlink>
      <w:r>
        <w:t xml:space="preserve">), farmers markets, specialty stores, and general e-commerce</w:t>
      </w:r>
      <w:r>
        <w:rPr>
          <w:rStyle w:val="FootnoteReference"/>
        </w:rPr>
        <w:footnoteReference w:id="46"/>
      </w:r>
      <w:r>
        <w:t xml:space="preserve">.</w:t>
      </w:r>
      <w:r>
        <w:t xml:space="preserve"> </w:t>
      </w:r>
      <w:r>
        <w:t xml:space="preserve">-</w:t>
      </w:r>
      <w:r>
        <w:t xml:space="preserve"> </w:t>
      </w:r>
      <w:r>
        <w:rPr>
          <w:b/>
          <w:bCs/>
        </w:rPr>
        <w:t xml:space="preserve">Differentiation</w:t>
      </w:r>
      <w:r>
        <w:t xml:space="preserve">: Group-buying and supplier-direct models, community element</w:t>
      </w:r>
      <w:r>
        <w:rPr>
          <w:rStyle w:val="FootnoteReference"/>
        </w:rPr>
        <w:footnoteReference w:id="47"/>
      </w:r>
      <w:r>
        <w:t xml:space="preserve">. However, defensibility against capitalized incumbents is unclear</w:t>
      </w:r>
      <w:r>
        <w:rPr>
          <w:rStyle w:val="FootnoteReference"/>
        </w:rPr>
        <w:footnoteReference w:id="48"/>
      </w:r>
      <w:r>
        <w:t xml:space="preserve">.</w:t>
      </w:r>
    </w:p>
    <w:p>
      <w:pPr>
        <w:pStyle w:val="BodyText"/>
      </w:pPr>
      <w:r>
        <w:rPr>
          <w:b/>
          <w:bCs/>
        </w:rPr>
        <w:t xml:space="preserve">Competitive assessment limitations</w:t>
      </w:r>
      <w:r>
        <w:t xml:space="preserve">: No specific data on direct competitors in the healthy grocery group-buying space, market share, or unit economics</w:t>
      </w:r>
      <w:r>
        <w:rPr>
          <w:rStyle w:val="FootnoteReference"/>
        </w:rPr>
        <w:footnoteReference w:id="49"/>
      </w:r>
      <w:r>
        <w:t xml:space="preserve">.</w:t>
      </w:r>
    </w:p>
    <w:p>
      <w:r>
        <w:pict>
          <v:rect style="width:0;height:1.5pt" o:hralign="center" o:hrstd="t" o:hr="t"/>
        </w:pict>
      </w:r>
    </w:p>
    <w:bookmarkEnd w:id="50"/>
    <w:bookmarkStart w:id="59" w:name="technology-product"/>
    <w:p>
      <w:pPr>
        <w:pStyle w:val="Heading2"/>
      </w:pPr>
      <w:r>
        <w:t xml:space="preserve">4. Technology &amp; Product</w:t>
      </w:r>
    </w:p>
    <w:p>
      <w:pPr>
        <w:pStyle w:val="FirstParagraph"/>
      </w:pPr>
      <w:r>
        <w:rPr>
          <w:b/>
          <w:bCs/>
        </w:rPr>
        <w:t xml:space="preserve">Technical approach</w:t>
      </w:r>
      <w:r>
        <w:t xml:space="preserve">: Trela’s web-based marketplace uses automation tools (like HubSpot Marketing Hub and Vimeo) and deeply integrates WhatsApp for group coordination, supply chain management, and matching supplier inventory to neighborhood demand</w:t>
      </w:r>
      <w:r>
        <w:rPr>
          <w:rStyle w:val="FootnoteReference"/>
        </w:rPr>
        <w:footnoteReference w:id="51"/>
      </w:r>
      <w:r>
        <w:t xml:space="preserve">.</w:t>
      </w:r>
    </w:p>
    <w:p>
      <w:pPr>
        <w:pStyle w:val="BodyText"/>
      </w:pPr>
      <w:r>
        <w:rPr>
          <w:b/>
          <w:bCs/>
        </w:rPr>
        <w:t xml:space="preserve">Current product</w:t>
      </w:r>
      <w:r>
        <w:t xml:space="preserve">: Live in São Paulo and Belo Horizonte</w:t>
      </w:r>
      <w:r>
        <w:rPr>
          <w:rStyle w:val="FootnoteReference"/>
        </w:rPr>
        <w:footnoteReference w:id="52"/>
      </w:r>
      <w:r>
        <w:t xml:space="preserve">, where users join WhatsApp groups per building, browse healthy food offerings, and place aggregated direct delivery orders</w:t>
      </w:r>
      <w:r>
        <w:rPr>
          <w:rStyle w:val="FootnoteReference"/>
        </w:rPr>
        <w:footnoteReference w:id="53"/>
      </w:r>
      <w:r>
        <w:t xml:space="preserve">.</w:t>
      </w:r>
    </w:p>
    <w:p>
      <w:pPr>
        <w:pStyle w:val="BodyText"/>
      </w:pPr>
      <w:r>
        <w:rPr>
          <w:b/>
          <w:bCs/>
        </w:rPr>
        <w:t xml:space="preserve">Product roadmap</w:t>
      </w:r>
      <w:r>
        <w:t xml:space="preserve">:</w:t>
      </w:r>
      <w:r>
        <w:t xml:space="preserve"> </w:t>
      </w:r>
      <w:r>
        <w:t xml:space="preserve">-</w:t>
      </w:r>
      <w:r>
        <w:t xml:space="preserve"> </w:t>
      </w:r>
      <w:r>
        <w:rPr>
          <w:b/>
          <w:bCs/>
        </w:rPr>
        <w:t xml:space="preserve">Geographic expansion</w:t>
      </w:r>
      <w:r>
        <w:t xml:space="preserve">: Plans to expand beyond São Paulo and Belo Horizonte</w:t>
      </w:r>
      <w:r>
        <w:rPr>
          <w:rStyle w:val="FootnoteReference"/>
        </w:rPr>
        <w:footnoteReference w:id="54"/>
      </w:r>
      <w:r>
        <w:t xml:space="preserve">.</w:t>
      </w:r>
      <w:r>
        <w:t xml:space="preserve"> </w:t>
      </w:r>
      <w:r>
        <w:t xml:space="preserve">-</w:t>
      </w:r>
      <w:r>
        <w:t xml:space="preserve"> </w:t>
      </w:r>
      <w:r>
        <w:rPr>
          <w:b/>
          <w:bCs/>
        </w:rPr>
        <w:t xml:space="preserve">Logistics evolution</w:t>
      </w:r>
      <w:r>
        <w:t xml:space="preserve">: Testing logistics partner model for fulfillment instead of suppliers</w:t>
      </w:r>
      <w:r>
        <w:rPr>
          <w:rStyle w:val="FootnoteReference"/>
        </w:rPr>
        <w:footnoteReference w:id="55"/>
      </w:r>
      <w:r>
        <w:t xml:space="preserve">.</w:t>
      </w:r>
    </w:p>
    <w:p>
      <w:pPr>
        <w:pStyle w:val="BodyText"/>
      </w:pPr>
      <w:r>
        <w:rPr>
          <w:b/>
          <w:bCs/>
        </w:rPr>
        <w:t xml:space="preserve">Technical risks/challenges</w:t>
      </w:r>
      <w:r>
        <w:t xml:space="preserve">:</w:t>
      </w:r>
      <w:r>
        <w:t xml:space="preserve"> </w:t>
      </w:r>
      <w:r>
        <w:t xml:space="preserve">-</w:t>
      </w:r>
      <w:r>
        <w:t xml:space="preserve"> </w:t>
      </w:r>
      <w:r>
        <w:rPr>
          <w:b/>
          <w:bCs/>
        </w:rPr>
        <w:t xml:space="preserve">Scalability of WhatsApp coordination</w:t>
      </w:r>
      <w:r>
        <w:t xml:space="preserve">, particularly with projected scaling</w:t>
      </w:r>
      <w:r>
        <w:rPr>
          <w:rStyle w:val="FootnoteReference"/>
        </w:rPr>
        <w:footnoteReference w:id="56"/>
      </w:r>
      <w:r>
        <w:t xml:space="preserve">.</w:t>
      </w:r>
      <w:r>
        <w:t xml:space="preserve"> </w:t>
      </w:r>
      <w:r>
        <w:t xml:space="preserve">-</w:t>
      </w:r>
      <w:r>
        <w:t xml:space="preserve"> </w:t>
      </w:r>
      <w:r>
        <w:rPr>
          <w:b/>
          <w:bCs/>
        </w:rPr>
        <w:t xml:space="preserve">Supply chain complexity</w:t>
      </w:r>
      <w:r>
        <w:t xml:space="preserve">: Expansion brings new supplier networks</w:t>
      </w:r>
      <w:r>
        <w:rPr>
          <w:rStyle w:val="FootnoteReference"/>
        </w:rPr>
        <w:footnoteReference w:id="57"/>
      </w:r>
      <w:r>
        <w:t xml:space="preserve">.</w:t>
      </w:r>
      <w:r>
        <w:t xml:space="preserve"> </w:t>
      </w:r>
      <w:r>
        <w:t xml:space="preserve">-</w:t>
      </w:r>
      <w:r>
        <w:t xml:space="preserve"> </w:t>
      </w:r>
      <w:r>
        <w:rPr>
          <w:b/>
          <w:bCs/>
        </w:rPr>
        <w:t xml:space="preserve">Technology differentiation</w:t>
      </w:r>
      <w:r>
        <w:t xml:space="preserve">: Relies on local network effects and operational execution rather than deep technology</w:t>
      </w:r>
      <w:r>
        <w:rPr>
          <w:rStyle w:val="FootnoteReference"/>
        </w:rPr>
        <w:footnoteReference w:id="58"/>
      </w:r>
      <w:r>
        <w:t xml:space="preserve">.</w:t>
      </w:r>
    </w:p>
    <w:p>
      <w:r>
        <w:pict>
          <v:rect style="width:0;height:1.5pt" o:hralign="center" o:hrstd="t" o:hr="t"/>
        </w:pict>
      </w:r>
    </w:p>
    <w:bookmarkEnd w:id="59"/>
    <w:bookmarkStart w:id="77" w:name="traction-milestones"/>
    <w:p>
      <w:pPr>
        <w:pStyle w:val="Heading2"/>
      </w:pPr>
      <w:r>
        <w:t xml:space="preserve">5. Traction &amp; Milestones</w:t>
      </w:r>
    </w:p>
    <w:p>
      <w:pPr>
        <w:pStyle w:val="FirstParagraph"/>
      </w:pPr>
      <w:r>
        <w:t xml:space="preserve">Trela Team 2023</w:t>
      </w:r>
      <w:r>
        <w:t xml:space="preserve"> </w:t>
      </w:r>
      <w:r>
        <w:rPr>
          <w:i/>
          <w:iCs/>
        </w:rPr>
        <w:t xml:space="preserve">Trela team in 2023</w:t>
      </w:r>
      <w:r>
        <w:rPr>
          <w:rStyle w:val="FootnoteReference"/>
        </w:rPr>
        <w:footnoteReference w:id="60"/>
      </w:r>
    </w:p>
    <w:p>
      <w:pPr>
        <w:pStyle w:val="BodyText"/>
      </w:pPr>
      <w:r>
        <w:rPr>
          <w:b/>
          <w:bCs/>
        </w:rPr>
        <w:t xml:space="preserve">Current metrics</w:t>
      </w:r>
      <w:r>
        <w:t xml:space="preserve">:</w:t>
      </w:r>
      <w:r>
        <w:t xml:space="preserve"> </w:t>
      </w:r>
      <w:r>
        <w:t xml:space="preserve">- Revenue: Not disclosed</w:t>
      </w:r>
      <w:r>
        <w:t xml:space="preserve"> </w:t>
      </w:r>
      <w:r>
        <w:t xml:space="preserve">- Customers: Not disclosed</w:t>
      </w:r>
      <w:r>
        <w:t xml:space="preserve"> </w:t>
      </w:r>
      <w:r>
        <w:t xml:space="preserve">- Active suppliers: Not disclosed</w:t>
      </w:r>
      <w:r>
        <w:t xml:space="preserve"> </w:t>
      </w:r>
      <w:r>
        <w:t xml:space="preserve">- Average order value: Not disclosed</w:t>
      </w:r>
      <w:r>
        <w:t xml:space="preserve"> </w:t>
      </w:r>
      <w:r>
        <w:t xml:space="preserve">- Repeat purchase rate: Not disclosed</w:t>
      </w:r>
      <w:r>
        <w:t xml:space="preserve"> </w:t>
      </w:r>
      <w:r>
        <w:t xml:space="preserve">- Geographic coverage: Operating in São Paulo and Belo Horizonte</w:t>
      </w:r>
      <w:r>
        <w:rPr>
          <w:rStyle w:val="FootnoteReference"/>
        </w:rPr>
        <w:footnoteReference w:id="61"/>
      </w:r>
    </w:p>
    <w:p>
      <w:pPr>
        <w:pStyle w:val="BodyText"/>
      </w:pPr>
      <w:r>
        <w:rPr>
          <w:b/>
          <w:bCs/>
        </w:rPr>
        <w:t xml:space="preserve">Key milestones achieved</w:t>
      </w:r>
      <w:r>
        <w:t xml:space="preserve">:</w:t>
      </w:r>
      <w:r>
        <w:t xml:space="preserve"> </w:t>
      </w:r>
      <w:r>
        <w:t xml:space="preserve">-</w:t>
      </w:r>
      <w:r>
        <w:t xml:space="preserve"> </w:t>
      </w:r>
      <w:r>
        <w:rPr>
          <w:b/>
          <w:bCs/>
        </w:rPr>
        <w:t xml:space="preserve">2020</w:t>
      </w:r>
      <w:r>
        <w:t xml:space="preserve">: Company founded in São Paulo by</w:t>
      </w:r>
      <w:r>
        <w:t xml:space="preserve"> </w:t>
      </w:r>
      <w:r>
        <w:rPr>
          <w:b/>
          <w:bCs/>
        </w:rPr>
        <w:t xml:space="preserve">Guilherme Nazareth de Souza</w:t>
      </w:r>
      <w:r>
        <w:t xml:space="preserve"> </w:t>
      </w:r>
      <w:r>
        <w:t xml:space="preserve">(</w:t>
      </w:r>
      <w:hyperlink r:id="rId62">
        <w:r>
          <w:rPr>
            <w:rStyle w:val="Hyperlink"/>
          </w:rPr>
          <w:t xml:space="preserve">LinkedIn</w:t>
        </w:r>
      </w:hyperlink>
      <w:r>
        <w:t xml:space="preserve">),</w:t>
      </w:r>
      <w:r>
        <w:t xml:space="preserve"> </w:t>
      </w:r>
      <w:r>
        <w:rPr>
          <w:b/>
          <w:bCs/>
        </w:rPr>
        <w:t xml:space="preserve">João Jönk</w:t>
      </w:r>
      <w:r>
        <w:t xml:space="preserve"> </w:t>
      </w:r>
      <w:r>
        <w:t xml:space="preserve">(</w:t>
      </w:r>
      <w:hyperlink r:id="rId63">
        <w:r>
          <w:rPr>
            <w:rStyle w:val="Hyperlink"/>
          </w:rPr>
          <w:t xml:space="preserve">LinkedIn</w:t>
        </w:r>
      </w:hyperlink>
      <w:r>
        <w:t xml:space="preserve">), and</w:t>
      </w:r>
      <w:r>
        <w:t xml:space="preserve"> </w:t>
      </w:r>
      <w:r>
        <w:rPr>
          <w:b/>
          <w:bCs/>
        </w:rPr>
        <w:t xml:space="preserve">Guilherme Alvarenga</w:t>
      </w:r>
      <w:r>
        <w:t xml:space="preserve"> </w:t>
      </w:r>
      <w:r>
        <w:t xml:space="preserve">(</w:t>
      </w:r>
      <w:hyperlink r:id="rId64">
        <w:r>
          <w:rPr>
            <w:rStyle w:val="Hyperlink"/>
          </w:rPr>
          <w:t xml:space="preserve">LinkedIn</w:t>
        </w:r>
      </w:hyperlink>
      <w:r>
        <w:t xml:space="preserve">)</w:t>
      </w:r>
      <w:r>
        <w:rPr>
          <w:rStyle w:val="FootnoteReference"/>
        </w:rPr>
        <w:footnoteReference w:id="65"/>
      </w:r>
      <w:r>
        <w:rPr>
          <w:rStyle w:val="FootnoteReference"/>
        </w:rPr>
        <w:footnoteReference w:id="66"/>
      </w:r>
      <w:r>
        <w:t xml:space="preserve">.</w:t>
      </w:r>
      <w:r>
        <w:t xml:space="preserve"> </w:t>
      </w:r>
      <w:r>
        <w:t xml:space="preserve">-</w:t>
      </w:r>
      <w:r>
        <w:t xml:space="preserve"> </w:t>
      </w:r>
      <w:r>
        <w:rPr>
          <w:b/>
          <w:bCs/>
        </w:rPr>
        <w:t xml:space="preserve">January-March 2021</w:t>
      </w:r>
      <w:r>
        <w:t xml:space="preserve">: Accepted into</w:t>
      </w:r>
      <w:r>
        <w:t xml:space="preserve"> </w:t>
      </w:r>
      <w:hyperlink r:id="rId10">
        <w:r>
          <w:rPr>
            <w:rStyle w:val="Hyperlink"/>
          </w:rPr>
          <w:t xml:space="preserve">Y Combinator</w:t>
        </w:r>
      </w:hyperlink>
      <w:r>
        <w:t xml:space="preserve"> </w:t>
      </w:r>
      <w:r>
        <w:t xml:space="preserve">accelerator</w:t>
      </w:r>
      <w:r>
        <w:rPr>
          <w:rStyle w:val="FootnoteReference"/>
        </w:rPr>
        <w:footnoteReference w:id="67"/>
      </w:r>
      <w:r>
        <w:rPr>
          <w:rStyle w:val="FootnoteReference"/>
        </w:rPr>
        <w:footnoteReference w:id="68"/>
      </w:r>
      <w:r>
        <w:t xml:space="preserve">.</w:t>
      </w:r>
      <w:r>
        <w:t xml:space="preserve"> </w:t>
      </w:r>
      <w:r>
        <w:t xml:space="preserve">-</w:t>
      </w:r>
      <w:r>
        <w:t xml:space="preserve"> </w:t>
      </w:r>
      <w:r>
        <w:rPr>
          <w:b/>
          <w:bCs/>
        </w:rPr>
        <w:t xml:space="preserve">2021</w:t>
      </w:r>
      <w:r>
        <w:t xml:space="preserve">: Raised $16M Seed round from</w:t>
      </w:r>
      <w:r>
        <w:t xml:space="preserve"> </w:t>
      </w:r>
      <w:hyperlink r:id="rId16">
        <w:r>
          <w:rPr>
            <w:rStyle w:val="Hyperlink"/>
          </w:rPr>
          <w:t xml:space="preserve">Kaszek Ventures</w:t>
        </w:r>
      </w:hyperlink>
      <w:r>
        <w:t xml:space="preserve"> </w:t>
      </w:r>
      <w:r>
        <w:t xml:space="preserve">and</w:t>
      </w:r>
      <w:r>
        <w:t xml:space="preserve"> </w:t>
      </w:r>
      <w:hyperlink r:id="rId17">
        <w:r>
          <w:rPr>
            <w:rStyle w:val="Hyperlink"/>
          </w:rPr>
          <w:t xml:space="preserve">General Catalyst</w:t>
        </w:r>
      </w:hyperlink>
      <w:r>
        <w:rPr>
          <w:rStyle w:val="FootnoteReference"/>
        </w:rPr>
        <w:footnoteReference w:id="69"/>
      </w:r>
      <w:r>
        <w:t xml:space="preserve">.</w:t>
      </w:r>
      <w:r>
        <w:t xml:space="preserve"> </w:t>
      </w:r>
      <w:r>
        <w:t xml:space="preserve">-</w:t>
      </w:r>
      <w:r>
        <w:t xml:space="preserve"> </w:t>
      </w:r>
      <w:r>
        <w:rPr>
          <w:b/>
          <w:bCs/>
        </w:rPr>
        <w:t xml:space="preserve">2022</w:t>
      </w:r>
      <w:r>
        <w:t xml:space="preserve">: Rebranded from Zapt to Trela</w:t>
      </w:r>
      <w:r>
        <w:rPr>
          <w:rStyle w:val="FootnoteReference"/>
        </w:rPr>
        <w:footnoteReference w:id="70"/>
      </w:r>
      <w:r>
        <w:t xml:space="preserve">.</w:t>
      </w:r>
      <w:r>
        <w:t xml:space="preserve"> </w:t>
      </w:r>
      <w:r>
        <w:t xml:space="preserve">-</w:t>
      </w:r>
      <w:r>
        <w:t xml:space="preserve"> </w:t>
      </w:r>
      <w:r>
        <w:rPr>
          <w:b/>
          <w:bCs/>
        </w:rPr>
        <w:t xml:space="preserve">March 2022</w:t>
      </w:r>
      <w:r>
        <w:t xml:space="preserve">: Closed $25M Series A led by</w:t>
      </w:r>
      <w:r>
        <w:t xml:space="preserve"> </w:t>
      </w:r>
      <w:hyperlink r:id="rId18">
        <w:r>
          <w:rPr>
            <w:rStyle w:val="Hyperlink"/>
          </w:rPr>
          <w:t xml:space="preserve">SoftBank Latin America Fund</w:t>
        </w:r>
      </w:hyperlink>
      <w:r>
        <w:rPr>
          <w:rStyle w:val="FootnoteReference"/>
        </w:rPr>
        <w:footnoteReference w:id="71"/>
      </w:r>
      <w:r>
        <w:t xml:space="preserve">.</w:t>
      </w:r>
      <w:r>
        <w:t xml:space="preserve"> </w:t>
      </w:r>
      <w:r>
        <w:t xml:space="preserve">-</w:t>
      </w:r>
      <w:r>
        <w:t xml:space="preserve"> </w:t>
      </w:r>
      <w:r>
        <w:rPr>
          <w:b/>
          <w:bCs/>
        </w:rPr>
        <w:t xml:space="preserve">2024</w:t>
      </w:r>
      <w:r>
        <w:t xml:space="preserve">: Scaled to approximately 98 employees (PitchBook data;</w:t>
      </w:r>
      <w:r>
        <w:t xml:space="preserve"> </w:t>
      </w:r>
      <w:hyperlink r:id="rId72">
        <w:r>
          <w:rPr>
            <w:rStyle w:val="Hyperlink"/>
          </w:rPr>
          <w:t xml:space="preserve">LinkedIn</w:t>
        </w:r>
      </w:hyperlink>
      <w:r>
        <w:t xml:space="preserve"> </w:t>
      </w:r>
      <w:r>
        <w:t xml:space="preserve">shows ~140 members)</w:t>
      </w:r>
      <w:r>
        <w:rPr>
          <w:rStyle w:val="FootnoteReference"/>
        </w:rPr>
        <w:footnoteReference w:id="73"/>
      </w:r>
      <w:r>
        <w:t xml:space="preserve">.</w:t>
      </w:r>
    </w:p>
    <w:p>
      <w:pPr>
        <w:pStyle w:val="BodyText"/>
      </w:pPr>
      <w:r>
        <w:rPr>
          <w:b/>
          <w:bCs/>
        </w:rPr>
        <w:t xml:space="preserve">Notable claims</w:t>
      </w:r>
      <w:r>
        <w:t xml:space="preserve">: Company claims</w:t>
      </w:r>
      <w:r>
        <w:t xml:space="preserve"> </w:t>
      </w:r>
      <w:r>
        <w:t xml:space="preserve">“the highest NPS of any consumer app in Brazil”</w:t>
      </w:r>
      <w:r>
        <w:t xml:space="preserve"> </w:t>
      </w:r>
      <w:r>
        <w:t xml:space="preserve">and</w:t>
      </w:r>
      <w:r>
        <w:t xml:space="preserve"> </w:t>
      </w:r>
      <w:r>
        <w:t xml:space="preserve">“the highest NPS of any grocer worldwide”</w:t>
      </w:r>
      <w:r>
        <w:rPr>
          <w:rStyle w:val="FootnoteReference"/>
        </w:rPr>
        <w:footnoteReference w:id="74"/>
      </w:r>
      <w:r>
        <w:t xml:space="preserve">. Specific NPS scores not disclosed.</w:t>
      </w:r>
    </w:p>
    <w:p>
      <w:pPr>
        <w:pStyle w:val="BodyText"/>
      </w:pPr>
      <w:r>
        <w:rPr>
          <w:b/>
          <w:bCs/>
        </w:rPr>
        <w:t xml:space="preserve">Next milestones</w:t>
      </w:r>
      <w:r>
        <w:t xml:space="preserve"> </w:t>
      </w:r>
      <w:r>
        <w:t xml:space="preserve">(6-12 months): Not publicly disclosed.</w:t>
      </w:r>
    </w:p>
    <w:p>
      <w:pPr>
        <w:pStyle w:val="BodyText"/>
      </w:pPr>
      <w:r>
        <w:rPr>
          <w:b/>
          <w:bCs/>
        </w:rPr>
        <w:t xml:space="preserve">Traction assessment limitations</w:t>
      </w:r>
      <w:r>
        <w:t xml:space="preserve">: No revenue, customer count, or business efficiency data available</w:t>
      </w:r>
      <w:r>
        <w:rPr>
          <w:rStyle w:val="FootnoteReference"/>
        </w:rPr>
        <w:footnoteReference w:id="75"/>
      </w:r>
      <w:r>
        <w:rPr>
          <w:rStyle w:val="FootnoteReference"/>
        </w:rPr>
        <w:footnoteReference w:id="76"/>
      </w:r>
      <w:r>
        <w:t xml:space="preserve">.</w:t>
      </w:r>
    </w:p>
    <w:p>
      <w:r>
        <w:pict>
          <v:rect style="width:0;height:1.5pt" o:hralign="center" o:hrstd="t" o:hr="t"/>
        </w:pict>
      </w:r>
    </w:p>
    <w:bookmarkEnd w:id="77"/>
    <w:bookmarkStart w:id="92" w:name="team"/>
    <w:p>
      <w:pPr>
        <w:pStyle w:val="Heading2"/>
      </w:pPr>
      <w:r>
        <w:t xml:space="preserve">6. Team</w:t>
      </w:r>
    </w:p>
    <w:p>
      <w:pPr>
        <w:pStyle w:val="FirstParagraph"/>
      </w:pPr>
      <w:r>
        <w:rPr>
          <w:b/>
          <w:bCs/>
        </w:rPr>
        <w:t xml:space="preserve">Founders</w:t>
      </w:r>
      <w:r>
        <w:t xml:space="preserve">:</w:t>
      </w:r>
      <w:r>
        <w:t xml:space="preserve"> </w:t>
      </w:r>
      <w:r>
        <w:t xml:space="preserve">-</w:t>
      </w:r>
      <w:r>
        <w:t xml:space="preserve"> </w:t>
      </w:r>
      <w:r>
        <w:rPr>
          <w:b/>
          <w:bCs/>
        </w:rPr>
        <w:t xml:space="preserve">Guilherme Nazareth de Souza</w:t>
      </w:r>
      <w:r>
        <w:t xml:space="preserve"> </w:t>
      </w:r>
      <w:r>
        <w:t xml:space="preserve">(</w:t>
      </w:r>
      <w:hyperlink r:id="rId62">
        <w:r>
          <w:rPr>
            <w:rStyle w:val="Hyperlink"/>
          </w:rPr>
          <w:t xml:space="preserve">LinkedIn</w:t>
        </w:r>
      </w:hyperlink>
      <w:r>
        <w:t xml:space="preserve">) (Co-Founder &amp; CEO): Leads company and marketplace development</w:t>
      </w:r>
      <w:r>
        <w:rPr>
          <w:rStyle w:val="FootnoteReference"/>
        </w:rPr>
        <w:footnoteReference w:id="78"/>
      </w:r>
      <w:r>
        <w:rPr>
          <w:rStyle w:val="FootnoteReference"/>
        </w:rPr>
        <w:footnoteReference w:id="79"/>
      </w:r>
      <w:r>
        <w:t xml:space="preserve">.</w:t>
      </w:r>
      <w:r>
        <w:t xml:space="preserve"> </w:t>
      </w:r>
      <w:r>
        <w:t xml:space="preserve">-</w:t>
      </w:r>
      <w:r>
        <w:t xml:space="preserve"> </w:t>
      </w:r>
      <w:r>
        <w:rPr>
          <w:b/>
          <w:bCs/>
        </w:rPr>
        <w:t xml:space="preserve">João Jönk</w:t>
      </w:r>
      <w:r>
        <w:t xml:space="preserve"> </w:t>
      </w:r>
      <w:r>
        <w:t xml:space="preserve">(</w:t>
      </w:r>
      <w:hyperlink r:id="rId63">
        <w:r>
          <w:rPr>
            <w:rStyle w:val="Hyperlink"/>
          </w:rPr>
          <w:t xml:space="preserve">LinkedIn</w:t>
        </w:r>
      </w:hyperlink>
      <w:r>
        <w:t xml:space="preserve">) (Co-Founder): Design-oriented, co-founded 2020</w:t>
      </w:r>
      <w:r>
        <w:rPr>
          <w:rStyle w:val="FootnoteReference"/>
        </w:rPr>
        <w:footnoteReference w:id="80"/>
      </w:r>
      <w:r>
        <w:rPr>
          <w:rStyle w:val="FootnoteReference"/>
        </w:rPr>
        <w:footnoteReference w:id="81"/>
      </w:r>
      <w:r>
        <w:t xml:space="preserve">.</w:t>
      </w:r>
      <w:r>
        <w:t xml:space="preserve"> </w:t>
      </w:r>
      <w:r>
        <w:t xml:space="preserve">-</w:t>
      </w:r>
      <w:r>
        <w:t xml:space="preserve"> </w:t>
      </w:r>
      <w:r>
        <w:rPr>
          <w:b/>
          <w:bCs/>
        </w:rPr>
        <w:t xml:space="preserve">Guilherme Alvarenga</w:t>
      </w:r>
      <w:r>
        <w:t xml:space="preserve"> </w:t>
      </w:r>
      <w:r>
        <w:t xml:space="preserve">(</w:t>
      </w:r>
      <w:hyperlink r:id="rId64">
        <w:r>
          <w:rPr>
            <w:rStyle w:val="Hyperlink"/>
          </w:rPr>
          <w:t xml:space="preserve">LinkedIn</w:t>
        </w:r>
      </w:hyperlink>
      <w:r>
        <w:t xml:space="preserve">) (Co-Founder): Co-founded Zapt, listed as Trela co-founder</w:t>
      </w:r>
      <w:r>
        <w:rPr>
          <w:rStyle w:val="FootnoteReference"/>
        </w:rPr>
        <w:footnoteReference w:id="82"/>
      </w:r>
      <w:r>
        <w:t xml:space="preserve">.</w:t>
      </w:r>
    </w:p>
    <w:p>
      <w:pPr>
        <w:pStyle w:val="BodyText"/>
      </w:pPr>
      <w:r>
        <w:rPr>
          <w:b/>
          <w:bCs/>
        </w:rPr>
        <w:t xml:space="preserve">Key hires</w:t>
      </w:r>
      <w:r>
        <w:t xml:space="preserve">: No additional senior leadership details available</w:t>
      </w:r>
      <w:r>
        <w:rPr>
          <w:rStyle w:val="FootnoteReference"/>
        </w:rPr>
        <w:footnoteReference w:id="83"/>
      </w:r>
      <w:r>
        <w:rPr>
          <w:rStyle w:val="FootnoteReference"/>
        </w:rPr>
        <w:footnoteReference w:id="84"/>
      </w:r>
      <w:r>
        <w:t xml:space="preserve">.</w:t>
      </w:r>
    </w:p>
    <w:p>
      <w:pPr>
        <w:pStyle w:val="BodyText"/>
      </w:pPr>
      <w:r>
        <w:rPr>
          <w:b/>
          <w:bCs/>
        </w:rPr>
        <w:t xml:space="preserve">Team size</w:t>
      </w:r>
      <w:r>
        <w:t xml:space="preserve">: ~98 employees (PitchBook), 120 per</w:t>
      </w:r>
      <w:r>
        <w:t xml:space="preserve"> </w:t>
      </w:r>
      <w:hyperlink r:id="rId10">
        <w:r>
          <w:rPr>
            <w:rStyle w:val="Hyperlink"/>
          </w:rPr>
          <w:t xml:space="preserve">Y Combinator</w:t>
        </w:r>
      </w:hyperlink>
      <w:r>
        <w:t xml:space="preserve">, 140 on LinkedIn as of late 2024</w:t>
      </w:r>
      <w:r>
        <w:rPr>
          <w:rStyle w:val="FootnoteReference"/>
        </w:rPr>
        <w:footnoteReference w:id="85"/>
      </w:r>
      <w:r>
        <w:t xml:space="preserve">.</w:t>
      </w:r>
    </w:p>
    <w:p>
      <w:pPr>
        <w:pStyle w:val="BodyText"/>
      </w:pPr>
      <w:r>
        <w:rPr>
          <w:b/>
          <w:bCs/>
        </w:rPr>
        <w:t xml:space="preserve">Team assessment</w:t>
      </w:r>
      <w:r>
        <w:t xml:space="preserve">:</w:t>
      </w:r>
      <w:r>
        <w:t xml:space="preserve"> </w:t>
      </w:r>
      <w:r>
        <w:t xml:space="preserve">-</w:t>
      </w:r>
      <w:r>
        <w:t xml:space="preserve"> </w:t>
      </w:r>
      <w:r>
        <w:rPr>
          <w:b/>
          <w:bCs/>
        </w:rPr>
        <w:t xml:space="preserve">Strengths</w:t>
      </w:r>
      <w:r>
        <w:t xml:space="preserve">: Navigated Y Combinator, secured major investors, scaled team</w:t>
      </w:r>
      <w:r>
        <w:rPr>
          <w:rStyle w:val="FootnoteReference"/>
        </w:rPr>
        <w:footnoteReference w:id="86"/>
      </w:r>
      <w:r>
        <w:rPr>
          <w:rStyle w:val="FootnoteReference"/>
        </w:rPr>
        <w:footnoteReference w:id="87"/>
      </w:r>
      <w:r>
        <w:t xml:space="preserve">.</w:t>
      </w:r>
      <w:r>
        <w:t xml:space="preserve"> </w:t>
      </w:r>
      <w:r>
        <w:t xml:space="preserve">-</w:t>
      </w:r>
      <w:r>
        <w:t xml:space="preserve"> </w:t>
      </w:r>
      <w:r>
        <w:rPr>
          <w:b/>
          <w:bCs/>
        </w:rPr>
        <w:t xml:space="preserve">Gaps</w:t>
      </w:r>
      <w:r>
        <w:t xml:space="preserve">: Limited disclosure of founder prior domain experience or details of senior team</w:t>
      </w:r>
      <w:r>
        <w:rPr>
          <w:rStyle w:val="FootnoteReference"/>
        </w:rPr>
        <w:footnoteReference w:id="88"/>
      </w:r>
      <w:r>
        <w:rPr>
          <w:rStyle w:val="FootnoteReference"/>
        </w:rPr>
        <w:footnoteReference w:id="89"/>
      </w:r>
      <w:r>
        <w:t xml:space="preserve">.</w:t>
      </w:r>
    </w:p>
    <w:p>
      <w:pPr>
        <w:pStyle w:val="BodyText"/>
      </w:pPr>
      <w:r>
        <w:rPr>
          <w:b/>
          <w:bCs/>
        </w:rPr>
        <w:t xml:space="preserve">Team transparency concern</w:t>
      </w:r>
      <w:r>
        <w:t xml:space="preserve">: Limited public info on background and leadership team</w:t>
      </w:r>
      <w:r>
        <w:rPr>
          <w:rStyle w:val="FootnoteReference"/>
        </w:rPr>
        <w:footnoteReference w:id="90"/>
      </w:r>
      <w:r>
        <w:rPr>
          <w:rStyle w:val="FootnoteReference"/>
        </w:rPr>
        <w:footnoteReference w:id="91"/>
      </w:r>
      <w:r>
        <w:t xml:space="preserve">.</w:t>
      </w:r>
    </w:p>
    <w:p>
      <w:r>
        <w:pict>
          <v:rect style="width:0;height:1.5pt" o:hralign="center" o:hrstd="t" o:hr="t"/>
        </w:pict>
      </w:r>
    </w:p>
    <w:bookmarkEnd w:id="92"/>
    <w:bookmarkStart w:id="104" w:name="funding-terms"/>
    <w:p>
      <w:pPr>
        <w:pStyle w:val="Heading2"/>
      </w:pPr>
      <w:r>
        <w:t xml:space="preserve">7. Funding &amp; Terms</w:t>
      </w:r>
    </w:p>
    <w:p>
      <w:pPr>
        <w:pStyle w:val="FirstParagraph"/>
      </w:pPr>
      <w:r>
        <w:rPr>
          <w:b/>
          <w:bCs/>
        </w:rPr>
        <w:t xml:space="preserve">Round</w:t>
      </w:r>
      <w:r>
        <w:t xml:space="preserve">: Series A (Completed March 2022)</w:t>
      </w:r>
      <w:r>
        <w:br/>
      </w:r>
      <w:r>
        <w:rPr>
          <w:b/>
          <w:bCs/>
        </w:rPr>
        <w:t xml:space="preserve">Amount raised</w:t>
      </w:r>
      <w:r>
        <w:t xml:space="preserve">: $25 million</w:t>
      </w:r>
      <w:r>
        <w:rPr>
          <w:rStyle w:val="FootnoteReference"/>
        </w:rPr>
        <w:footnoteReference w:id="93"/>
      </w:r>
      <w:r>
        <w:br/>
      </w:r>
      <w:r>
        <w:rPr>
          <w:b/>
          <w:bCs/>
        </w:rPr>
        <w:t xml:space="preserve">Valuation</w:t>
      </w:r>
      <w:r>
        <w:t xml:space="preserve">: Not disclosed</w:t>
      </w:r>
      <w:r>
        <w:br/>
      </w:r>
      <w:r>
        <w:rPr>
          <w:b/>
          <w:bCs/>
        </w:rPr>
        <w:t xml:space="preserve">Lead investor</w:t>
      </w:r>
      <w:r>
        <w:t xml:space="preserve">:</w:t>
      </w:r>
      <w:r>
        <w:t xml:space="preserve"> </w:t>
      </w:r>
      <w:hyperlink r:id="rId18">
        <w:r>
          <w:rPr>
            <w:rStyle w:val="Hyperlink"/>
          </w:rPr>
          <w:t xml:space="preserve">SoftBank Latin America Fund</w:t>
        </w:r>
      </w:hyperlink>
      <w:r>
        <w:rPr>
          <w:rStyle w:val="FootnoteReference"/>
        </w:rPr>
        <w:footnoteReference w:id="94"/>
      </w:r>
    </w:p>
    <w:p>
      <w:pPr>
        <w:pStyle w:val="BodyText"/>
      </w:pPr>
      <w:r>
        <w:rPr>
          <w:b/>
          <w:bCs/>
        </w:rPr>
        <w:t xml:space="preserve">Total capital raised</w:t>
      </w:r>
      <w:r>
        <w:t xml:space="preserve">: $41 million across two rounds (public totals range $27.8M–$41M, may reflect pre-seed discrepancy)</w:t>
      </w:r>
      <w:r>
        <w:rPr>
          <w:rStyle w:val="FootnoteReference"/>
        </w:rPr>
        <w:footnoteReference w:id="95"/>
      </w:r>
      <w:r>
        <w:rPr>
          <w:rStyle w:val="FootnoteReference"/>
        </w:rPr>
        <w:footnoteReference w:id="96"/>
      </w:r>
    </w:p>
    <w:p>
      <w:pPr>
        <w:pStyle w:val="BodyText"/>
      </w:pPr>
      <w:r>
        <w:rPr>
          <w:b/>
          <w:bCs/>
        </w:rPr>
        <w:t xml:space="preserve">Prior funding</w:t>
      </w:r>
      <w:r>
        <w:t xml:space="preserve">:</w:t>
      </w:r>
      <w:r>
        <w:t xml:space="preserve"> </w:t>
      </w:r>
      <w:r>
        <w:t xml:space="preserve">-</w:t>
      </w:r>
      <w:r>
        <w:t xml:space="preserve"> </w:t>
      </w:r>
      <w:r>
        <w:rPr>
          <w:b/>
          <w:bCs/>
        </w:rPr>
        <w:t xml:space="preserve">Seed Round</w:t>
      </w:r>
      <w:r>
        <w:t xml:space="preserve"> </w:t>
      </w:r>
      <w:r>
        <w:t xml:space="preserve">(2021): $16M from</w:t>
      </w:r>
      <w:r>
        <w:t xml:space="preserve"> </w:t>
      </w:r>
      <w:hyperlink r:id="rId16">
        <w:r>
          <w:rPr>
            <w:rStyle w:val="Hyperlink"/>
          </w:rPr>
          <w:t xml:space="preserve">Kaszek Ventures</w:t>
        </w:r>
      </w:hyperlink>
      <w:r>
        <w:t xml:space="preserve"> </w:t>
      </w:r>
      <w:r>
        <w:t xml:space="preserve">and</w:t>
      </w:r>
      <w:r>
        <w:t xml:space="preserve"> </w:t>
      </w:r>
      <w:hyperlink r:id="rId17">
        <w:r>
          <w:rPr>
            <w:rStyle w:val="Hyperlink"/>
          </w:rPr>
          <w:t xml:space="preserve">General Catalyst</w:t>
        </w:r>
      </w:hyperlink>
      <w:r>
        <w:rPr>
          <w:rStyle w:val="FootnoteReference"/>
        </w:rPr>
        <w:footnoteReference w:id="97"/>
      </w:r>
      <w:r>
        <w:t xml:space="preserve"> </w:t>
      </w:r>
      <w:r>
        <w:t xml:space="preserve">-</w:t>
      </w:r>
      <w:r>
        <w:t xml:space="preserve"> </w:t>
      </w:r>
      <w:r>
        <w:rPr>
          <w:b/>
          <w:bCs/>
        </w:rPr>
        <w:t xml:space="preserve">Series A</w:t>
      </w:r>
      <w:r>
        <w:t xml:space="preserve"> </w:t>
      </w:r>
      <w:r>
        <w:t xml:space="preserve">(Mar 2022): $25M led by</w:t>
      </w:r>
      <w:r>
        <w:t xml:space="preserve"> </w:t>
      </w:r>
      <w:hyperlink r:id="rId98">
        <w:r>
          <w:rPr>
            <w:rStyle w:val="Hyperlink"/>
          </w:rPr>
          <w:t xml:space="preserve">SoftBank</w:t>
        </w:r>
      </w:hyperlink>
      <w:r>
        <w:t xml:space="preserve">, with</w:t>
      </w:r>
      <w:r>
        <w:t xml:space="preserve"> </w:t>
      </w:r>
      <w:hyperlink r:id="rId16">
        <w:r>
          <w:rPr>
            <w:rStyle w:val="Hyperlink"/>
          </w:rPr>
          <w:t xml:space="preserve">Kaszek Ventures</w:t>
        </w:r>
      </w:hyperlink>
      <w:r>
        <w:t xml:space="preserve">,</w:t>
      </w:r>
      <w:r>
        <w:t xml:space="preserve"> </w:t>
      </w:r>
      <w:hyperlink r:id="rId17">
        <w:r>
          <w:rPr>
            <w:rStyle w:val="Hyperlink"/>
          </w:rPr>
          <w:t xml:space="preserve">General Catalyst</w:t>
        </w:r>
      </w:hyperlink>
      <w:r>
        <w:t xml:space="preserve">,</w:t>
      </w:r>
      <w:r>
        <w:t xml:space="preserve"> </w:t>
      </w:r>
      <w:hyperlink r:id="rId10">
        <w:r>
          <w:rPr>
            <w:rStyle w:val="Hyperlink"/>
          </w:rPr>
          <w:t xml:space="preserve">Y Combinator</w:t>
        </w:r>
      </w:hyperlink>
      <w:r>
        <w:t xml:space="preserve">, and</w:t>
      </w:r>
      <w:r>
        <w:t xml:space="preserve"> </w:t>
      </w:r>
      <w:hyperlink r:id="rId99">
        <w:r>
          <w:rPr>
            <w:rStyle w:val="Hyperlink"/>
          </w:rPr>
          <w:t xml:space="preserve">Pierpaolo Barbieri</w:t>
        </w:r>
      </w:hyperlink>
      <w:r>
        <w:rPr>
          <w:rStyle w:val="FootnoteReference"/>
        </w:rPr>
        <w:footnoteReference w:id="100"/>
      </w:r>
    </w:p>
    <w:p>
      <w:pPr>
        <w:pStyle w:val="BodyText"/>
      </w:pPr>
      <w:r>
        <w:rPr>
          <w:b/>
          <w:bCs/>
        </w:rPr>
        <w:t xml:space="preserve">Use of funds</w:t>
      </w:r>
      <w:r>
        <w:t xml:space="preserve">: Primarily for product development, hiring, and expansion</w:t>
      </w:r>
      <w:r>
        <w:rPr>
          <w:rStyle w:val="FootnoteReference"/>
        </w:rPr>
        <w:footnoteReference w:id="101"/>
      </w:r>
      <w:r>
        <w:t xml:space="preserve">.</w:t>
      </w:r>
    </w:p>
    <w:p>
      <w:pPr>
        <w:pStyle w:val="BodyText"/>
      </w:pPr>
      <w:r>
        <w:rPr>
          <w:b/>
          <w:bCs/>
        </w:rPr>
        <w:t xml:space="preserve">Notable investors</w:t>
      </w:r>
      <w:r>
        <w:t xml:space="preserve">:</w:t>
      </w:r>
      <w:r>
        <w:t xml:space="preserve"> </w:t>
      </w:r>
      <w:r>
        <w:t xml:space="preserve">-</w:t>
      </w:r>
      <w:r>
        <w:t xml:space="preserve"> </w:t>
      </w:r>
      <w:hyperlink r:id="rId18">
        <w:r>
          <w:rPr>
            <w:rStyle w:val="Hyperlink"/>
            <w:b/>
            <w:bCs/>
          </w:rPr>
          <w:t xml:space="preserve">SoftBank Latin America Fund</w:t>
        </w:r>
      </w:hyperlink>
      <w:r>
        <w:t xml:space="preserve"> </w:t>
      </w:r>
      <w:r>
        <w:t xml:space="preserve">-</w:t>
      </w:r>
      <w:r>
        <w:t xml:space="preserve"> </w:t>
      </w:r>
      <w:hyperlink r:id="rId16">
        <w:r>
          <w:rPr>
            <w:rStyle w:val="Hyperlink"/>
            <w:b/>
            <w:bCs/>
          </w:rPr>
          <w:t xml:space="preserve">Kaszek Ventures</w:t>
        </w:r>
      </w:hyperlink>
      <w:r>
        <w:t xml:space="preserve"> </w:t>
      </w:r>
      <w:r>
        <w:t xml:space="preserve">-</w:t>
      </w:r>
      <w:r>
        <w:t xml:space="preserve"> </w:t>
      </w:r>
      <w:hyperlink r:id="rId17">
        <w:r>
          <w:rPr>
            <w:rStyle w:val="Hyperlink"/>
            <w:b/>
            <w:bCs/>
          </w:rPr>
          <w:t xml:space="preserve">General Catalyst</w:t>
        </w:r>
      </w:hyperlink>
      <w:r>
        <w:t xml:space="preserve"> </w:t>
      </w:r>
      <w:r>
        <w:t xml:space="preserve">-</w:t>
      </w:r>
      <w:r>
        <w:t xml:space="preserve"> </w:t>
      </w:r>
      <w:hyperlink r:id="rId10">
        <w:r>
          <w:rPr>
            <w:rStyle w:val="Hyperlink"/>
            <w:b/>
            <w:bCs/>
          </w:rPr>
          <w:t xml:space="preserve">Y Combinator</w:t>
        </w:r>
      </w:hyperlink>
    </w:p>
    <w:p>
      <w:pPr>
        <w:pStyle w:val="BodyText"/>
      </w:pPr>
      <w:r>
        <w:rPr>
          <w:b/>
          <w:bCs/>
        </w:rPr>
        <w:t xml:space="preserve">Funding assessment</w:t>
      </w:r>
      <w:r>
        <w:t xml:space="preserve">: High-profile investors signal market opportunity</w:t>
      </w:r>
      <w:r>
        <w:rPr>
          <w:rStyle w:val="FootnoteReference"/>
        </w:rPr>
        <w:footnoteReference w:id="102"/>
      </w:r>
      <w:r>
        <w:rPr>
          <w:rStyle w:val="FootnoteReference"/>
        </w:rPr>
        <w:footnoteReference w:id="103"/>
      </w:r>
      <w:r>
        <w:t xml:space="preserve">.</w:t>
      </w:r>
    </w:p>
    <w:p>
      <w:r>
        <w:pict>
          <v:rect style="width:0;height:1.5pt" o:hralign="center" o:hrstd="t" o:hr="t"/>
        </w:pict>
      </w:r>
    </w:p>
    <w:bookmarkEnd w:id="104"/>
    <w:bookmarkStart w:id="107" w:name="risks-mitigations"/>
    <w:p>
      <w:pPr>
        <w:pStyle w:val="Heading2"/>
      </w:pPr>
      <w:r>
        <w:t xml:space="preserve">8. Risks &amp; Mitigations</w:t>
      </w:r>
    </w:p>
    <w:p>
      <w:pPr>
        <w:pStyle w:val="FirstParagraph"/>
      </w:pPr>
      <w:r>
        <w:t xml:space="preserve">All key risks and mitigations as stated remain unchanged, with continued emphasis on financial transparency, geographic concentration, logistics model transition, competitive differentiation, capital intensity, and supplier dependence as critical areas for investor attention</w:t>
      </w:r>
      <w:r>
        <w:rPr>
          <w:rStyle w:val="FootnoteReference"/>
        </w:rPr>
        <w:footnoteReference w:id="105"/>
      </w:r>
      <w:r>
        <w:rPr>
          <w:rStyle w:val="FootnoteReference"/>
        </w:rPr>
        <w:footnoteReference w:id="106"/>
      </w:r>
      <w:r>
        <w:t xml:space="preserve">.</w:t>
      </w:r>
    </w:p>
    <w:p>
      <w:r>
        <w:pict>
          <v:rect style="width:0;height:1.5pt" o:hralign="center" o:hrstd="t" o:hr="t"/>
        </w:pict>
      </w:r>
    </w:p>
    <w:bookmarkEnd w:id="107"/>
    <w:bookmarkStart w:id="112" w:name="investment-thesis"/>
    <w:p>
      <w:pPr>
        <w:pStyle w:val="Heading2"/>
      </w:pPr>
      <w:r>
        <w:t xml:space="preserve">9. Investment Thesis</w:t>
      </w:r>
    </w:p>
    <w:p>
      <w:pPr>
        <w:pStyle w:val="Compact"/>
        <w:numPr>
          <w:ilvl w:val="0"/>
          <w:numId w:val="1001"/>
        </w:numPr>
      </w:pPr>
      <w:r>
        <w:rPr>
          <w:b/>
          <w:bCs/>
        </w:rPr>
        <w:t xml:space="preserve">Why now</w:t>
      </w:r>
      <w:r>
        <w:t xml:space="preserve">: Accelerated e-commerce adoption, changing consumer preferences, WhatsApp ubiquity, dense urban delivery economics in major Brazilian cities</w:t>
      </w:r>
      <w:r>
        <w:rPr>
          <w:rStyle w:val="FootnoteReference"/>
        </w:rPr>
        <w:footnoteReference w:id="108"/>
      </w:r>
      <w:r>
        <w:t xml:space="preserve">.</w:t>
      </w:r>
    </w:p>
    <w:p>
      <w:pPr>
        <w:pStyle w:val="Compact"/>
        <w:numPr>
          <w:ilvl w:val="0"/>
          <w:numId w:val="1001"/>
        </w:numPr>
      </w:pPr>
      <w:r>
        <w:rPr>
          <w:b/>
          <w:bCs/>
        </w:rPr>
        <w:t xml:space="preserve">Why this team</w:t>
      </w:r>
      <w:r>
        <w:t xml:space="preserve">: Co-founders (</w:t>
      </w:r>
      <w:r>
        <w:rPr>
          <w:b/>
          <w:bCs/>
        </w:rPr>
        <w:t xml:space="preserve">Guilherme Nazareth de Souza</w:t>
      </w:r>
      <w:r>
        <w:t xml:space="preserve"> </w:t>
      </w:r>
      <w:r>
        <w:t xml:space="preserve">(</w:t>
      </w:r>
      <w:hyperlink r:id="rId62">
        <w:r>
          <w:rPr>
            <w:rStyle w:val="Hyperlink"/>
          </w:rPr>
          <w:t xml:space="preserve">LinkedIn</w:t>
        </w:r>
      </w:hyperlink>
      <w:r>
        <w:t xml:space="preserve">),</w:t>
      </w:r>
      <w:r>
        <w:t xml:space="preserve"> </w:t>
      </w:r>
      <w:r>
        <w:rPr>
          <w:b/>
          <w:bCs/>
        </w:rPr>
        <w:t xml:space="preserve">João Jönk</w:t>
      </w:r>
      <w:r>
        <w:t xml:space="preserve"> </w:t>
      </w:r>
      <w:r>
        <w:t xml:space="preserve">(</w:t>
      </w:r>
      <w:hyperlink r:id="rId63">
        <w:r>
          <w:rPr>
            <w:rStyle w:val="Hyperlink"/>
          </w:rPr>
          <w:t xml:space="preserve">LinkedIn</w:t>
        </w:r>
      </w:hyperlink>
      <w:r>
        <w:t xml:space="preserve">),</w:t>
      </w:r>
      <w:r>
        <w:t xml:space="preserve"> </w:t>
      </w:r>
      <w:r>
        <w:rPr>
          <w:b/>
          <w:bCs/>
        </w:rPr>
        <w:t xml:space="preserve">Guilherme Alvarenga</w:t>
      </w:r>
      <w:r>
        <w:t xml:space="preserve"> </w:t>
      </w:r>
      <w:r>
        <w:t xml:space="preserve">(</w:t>
      </w:r>
      <w:hyperlink r:id="rId64">
        <w:r>
          <w:rPr>
            <w:rStyle w:val="Hyperlink"/>
          </w:rPr>
          <w:t xml:space="preserve">LinkedIn</w:t>
        </w:r>
      </w:hyperlink>
      <w:r>
        <w:t xml:space="preserve">)) have raised from top investors and scaled team</w:t>
      </w:r>
      <w:r>
        <w:rPr>
          <w:rStyle w:val="FootnoteReference"/>
        </w:rPr>
        <w:footnoteReference w:id="109"/>
      </w:r>
      <w:r>
        <w:rPr>
          <w:rStyle w:val="FootnoteReference"/>
        </w:rPr>
        <w:footnoteReference w:id="110"/>
      </w:r>
      <w:r>
        <w:t xml:space="preserve">.</w:t>
      </w:r>
    </w:p>
    <w:p>
      <w:pPr>
        <w:pStyle w:val="Compact"/>
        <w:numPr>
          <w:ilvl w:val="0"/>
          <w:numId w:val="1001"/>
        </w:numPr>
      </w:pPr>
      <w:r>
        <w:rPr>
          <w:b/>
          <w:bCs/>
        </w:rPr>
        <w:t xml:space="preserve">Why this approach</w:t>
      </w:r>
      <w:r>
        <w:t xml:space="preserve">: Group buying + supply chain disintermediation tailored for Brazil’s digital and urban context</w:t>
      </w:r>
      <w:r>
        <w:rPr>
          <w:rStyle w:val="FootnoteReference"/>
        </w:rPr>
        <w:footnoteReference w:id="111"/>
      </w:r>
      <w:r>
        <w:t xml:space="preserve">.</w:t>
      </w:r>
    </w:p>
    <w:p>
      <w:r>
        <w:pict>
          <v:rect style="width:0;height:1.5pt" o:hralign="center" o:hrstd="t" o:hr="t"/>
        </w:pict>
      </w:r>
    </w:p>
    <w:bookmarkEnd w:id="112"/>
    <w:bookmarkStart w:id="116" w:name="recommendation"/>
    <w:p>
      <w:pPr>
        <w:pStyle w:val="Heading2"/>
      </w:pPr>
      <w:r>
        <w:t xml:space="preserve">10. Recommendation</w:t>
      </w:r>
    </w:p>
    <w:p>
      <w:pPr>
        <w:pStyle w:val="FirstParagraph"/>
      </w:pPr>
      <w:r>
        <w:rPr>
          <w:b/>
          <w:bCs/>
        </w:rPr>
        <w:t xml:space="preserve">Decision</w:t>
      </w:r>
      <w:r>
        <w:t xml:space="preserve">:</w:t>
      </w:r>
      <w:r>
        <w:t xml:space="preserve"> </w:t>
      </w:r>
      <w:r>
        <w:rPr>
          <w:b/>
          <w:bCs/>
        </w:rPr>
        <w:t xml:space="preserve">PASS</w:t>
      </w:r>
    </w:p>
    <w:p>
      <w:pPr>
        <w:pStyle w:val="BodyText"/>
      </w:pPr>
      <w:r>
        <w:t xml:space="preserve">No changes; all rationale and next steps remain as originally stated</w:t>
      </w:r>
      <w:r>
        <w:rPr>
          <w:rStyle w:val="FootnoteReference"/>
        </w:rPr>
        <w:footnoteReference w:id="113"/>
      </w:r>
      <w:r>
        <w:rPr>
          <w:rStyle w:val="FootnoteReference"/>
        </w:rPr>
        <w:footnoteReference w:id="114"/>
      </w:r>
      <w:r>
        <w:t xml:space="preserve">.</w:t>
      </w:r>
    </w:p>
    <w:p>
      <w:r>
        <w:pict>
          <v:rect style="width:0;height:1.5pt" o:hralign="center" o:hrstd="t" o:hr="t"/>
        </w:pict>
      </w:r>
    </w:p>
    <w:p>
      <w:pPr>
        <w:pStyle w:val="FirstParagraph"/>
      </w:pPr>
      <w:r>
        <w:rPr>
          <w:i/>
          <w:iCs/>
        </w:rPr>
        <w:t xml:space="preserve">Memo prepared by: Hypernova Capital Investment Team</w:t>
      </w:r>
      <w:r>
        <w:br/>
      </w:r>
      <w:r>
        <w:rPr>
          <w:i/>
          <w:iCs/>
        </w:rPr>
        <w:t xml:space="preserve">Date: November 2024</w:t>
      </w:r>
    </w:p>
    <w:p>
      <w:r>
        <w:pict>
          <v:rect style="width:0;height:1.5pt" o:hralign="center" o:hrstd="t" o:hr="t"/>
        </w:pict>
      </w:r>
    </w:p>
    <w:bookmarkStart w:id="115" w:name="citations"/>
    <w:p>
      <w:pPr>
        <w:pStyle w:val="Heading3"/>
      </w:pPr>
      <w:r>
        <w:t xml:space="preserve">Citations</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1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5">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1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0">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2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2">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4">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2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6">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2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0">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2">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6">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7">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3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4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46">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47">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4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4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2">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4">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6">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7">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5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60">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6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6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66">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67">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68">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6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0">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3">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74">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6">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7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79">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80">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81">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82">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8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84">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85">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86">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87">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8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89">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90">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91">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9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94">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9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96">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97">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0">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2">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3">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105">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6">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108">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09">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10">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 w:id="111">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13">
    <w:p>
      <w:pPr>
        <w:pStyle w:val="FootnoteText"/>
      </w:pPr>
      <w:r>
        <w:rPr>
          <w:rStyle w:val="FootnoteReference"/>
        </w:rPr>
        <w:footnoteRef/>
      </w:r>
      <w:r>
        <w:t xml:space="preserve"> </w:t>
      </w:r>
      <w:r>
        <w:t xml:space="preserve">2022, Mar 08.</w:t>
      </w:r>
      <w:r>
        <w:t xml:space="preserve"> </w:t>
      </w:r>
      <w:hyperlink r:id="rId14">
        <w:r>
          <w:rPr>
            <w:rStyle w:val="Hyperlink"/>
          </w:rPr>
          <w:t xml:space="preserve">Zapt is now Trela; aims to remove the middleman from group food shopping – TechCrunch</w:t>
        </w:r>
      </w:hyperlink>
      <w:r>
        <w:t xml:space="preserve">. Published: 2022-03-08 | Updated: N/A</w:t>
      </w:r>
    </w:p>
  </w:footnote>
  <w:footnote w:id="114">
    <w:p>
      <w:pPr>
        <w:pStyle w:val="FootnoteText"/>
      </w:pPr>
      <w:r>
        <w:rPr>
          <w:rStyle w:val="FootnoteReference"/>
        </w:rPr>
        <w:footnoteRef/>
      </w:r>
      <w:r>
        <w:t xml:space="preserve"> </w:t>
      </w:r>
      <w:r>
        <w:t xml:space="preserve">2024, Oct 03.</w:t>
      </w:r>
      <w:r>
        <w:t xml:space="preserve"> </w:t>
      </w:r>
      <w:hyperlink r:id="rId10">
        <w:r>
          <w:rPr>
            <w:rStyle w:val="Hyperlink"/>
          </w:rPr>
          <w:t xml:space="preserve">Trela: Your one-stop shop to eat well in Brazil - Y Combinator</w:t>
        </w:r>
      </w:hyperlink>
      <w:r>
        <w:t xml:space="preserve">. Published: 2023-01-01 | Updated: 2024-10-03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https://group.softbank.en" TargetMode="External" /><Relationship Type="http://schemas.openxmlformats.org/officeDocument/2006/relationships/hyperlink" Id="rId18" Target="https://group.softbank/en/" TargetMode="External" /><Relationship Type="http://schemas.openxmlformats.org/officeDocument/2006/relationships/hyperlink" Id="rId16" Target="https://kaszek.com" TargetMode="External" /><Relationship Type="http://schemas.openxmlformats.org/officeDocument/2006/relationships/hyperlink" Id="rId64" Target="https://linkedin.com/in/guilherme-alvarenga-69854198" TargetMode="External" /><Relationship Type="http://schemas.openxmlformats.org/officeDocument/2006/relationships/hyperlink" Id="rId62" Target="https://linkedin.com/in/guilhermenazareth" TargetMode="External" /><Relationship Type="http://schemas.openxmlformats.org/officeDocument/2006/relationships/hyperlink" Id="rId63" Target="https://linkedin.com/in/joaojonk" TargetMode="External" /><Relationship Type="http://schemas.openxmlformats.org/officeDocument/2006/relationships/hyperlink" Id="rId99" Target="https://linkedin.com/in/pierpaolobarbieri" TargetMode="External" /><Relationship Type="http://schemas.openxmlformats.org/officeDocument/2006/relationships/hyperlink" Id="rId14" Target="https://techcrunch.com/2022/03/08/zapt-trela-food-shopping/" TargetMode="External" /><Relationship Type="http://schemas.openxmlformats.org/officeDocument/2006/relationships/hyperlink" Id="rId45" Target="https://www.carrefour.com.br" TargetMode="External" /><Relationship Type="http://schemas.openxmlformats.org/officeDocument/2006/relationships/hyperlink" Id="rId41" Target="https://www.cornershopapp.com" TargetMode="External" /><Relationship Type="http://schemas.openxmlformats.org/officeDocument/2006/relationships/hyperlink" Id="rId17" Target="https://www.generalcatalyst.com" TargetMode="External" /><Relationship Type="http://schemas.openxmlformats.org/officeDocument/2006/relationships/hyperlink" Id="rId42" Target="https://www.ifood.com.br" TargetMode="External" /><Relationship Type="http://schemas.openxmlformats.org/officeDocument/2006/relationships/hyperlink" Id="rId72" Target="https://www.linkedin.com/company/trelacom/about/" TargetMode="External" /><Relationship Type="http://schemas.openxmlformats.org/officeDocument/2006/relationships/hyperlink" Id="rId44" Target="https://www.paodeacucar.com" TargetMode="External" /><Relationship Type="http://schemas.openxmlformats.org/officeDocument/2006/relationships/hyperlink" Id="rId40" Target="https://www.rappi.com.br" TargetMode="External" /><Relationship Type="http://schemas.openxmlformats.org/officeDocument/2006/relationships/hyperlink" Id="rId11" Target="https://www.trela.com.br/" TargetMode="External" /><Relationship Type="http://schemas.openxmlformats.org/officeDocument/2006/relationships/hyperlink" Id="rId10" Target="https://www.ycombinator.com/companies/trela" TargetMode="External" /></Relationships>
</file>

<file path=word/_rels/footnotes.xml.rels><?xml version="1.0" encoding="UTF-8"?><Relationships xmlns="http://schemas.openxmlformats.org/package/2006/relationships"><Relationship Type="http://schemas.openxmlformats.org/officeDocument/2006/relationships/hyperlink" Id="rId98" Target="https://group.softbank.en" TargetMode="External" /><Relationship Type="http://schemas.openxmlformats.org/officeDocument/2006/relationships/hyperlink" Id="rId18" Target="https://group.softbank/en/" TargetMode="External" /><Relationship Type="http://schemas.openxmlformats.org/officeDocument/2006/relationships/hyperlink" Id="rId16" Target="https://kaszek.com" TargetMode="External" /><Relationship Type="http://schemas.openxmlformats.org/officeDocument/2006/relationships/hyperlink" Id="rId64" Target="https://linkedin.com/in/guilherme-alvarenga-69854198" TargetMode="External" /><Relationship Type="http://schemas.openxmlformats.org/officeDocument/2006/relationships/hyperlink" Id="rId62" Target="https://linkedin.com/in/guilhermenazareth" TargetMode="External" /><Relationship Type="http://schemas.openxmlformats.org/officeDocument/2006/relationships/hyperlink" Id="rId63" Target="https://linkedin.com/in/joaojonk" TargetMode="External" /><Relationship Type="http://schemas.openxmlformats.org/officeDocument/2006/relationships/hyperlink" Id="rId99" Target="https://linkedin.com/in/pierpaolobarbieri" TargetMode="External" /><Relationship Type="http://schemas.openxmlformats.org/officeDocument/2006/relationships/hyperlink" Id="rId14" Target="https://techcrunch.com/2022/03/08/zapt-trela-food-shopping/" TargetMode="External" /><Relationship Type="http://schemas.openxmlformats.org/officeDocument/2006/relationships/hyperlink" Id="rId45" Target="https://www.carrefour.com.br" TargetMode="External" /><Relationship Type="http://schemas.openxmlformats.org/officeDocument/2006/relationships/hyperlink" Id="rId41" Target="https://www.cornershopapp.com" TargetMode="External" /><Relationship Type="http://schemas.openxmlformats.org/officeDocument/2006/relationships/hyperlink" Id="rId17" Target="https://www.generalcatalyst.com" TargetMode="External" /><Relationship Type="http://schemas.openxmlformats.org/officeDocument/2006/relationships/hyperlink" Id="rId42" Target="https://www.ifood.com.br" TargetMode="External" /><Relationship Type="http://schemas.openxmlformats.org/officeDocument/2006/relationships/hyperlink" Id="rId72" Target="https://www.linkedin.com/company/trelacom/about/" TargetMode="External" /><Relationship Type="http://schemas.openxmlformats.org/officeDocument/2006/relationships/hyperlink" Id="rId44" Target="https://www.paodeacucar.com" TargetMode="External" /><Relationship Type="http://schemas.openxmlformats.org/officeDocument/2006/relationships/hyperlink" Id="rId40" Target="https://www.rappi.com.br" TargetMode="External" /><Relationship Type="http://schemas.openxmlformats.org/officeDocument/2006/relationships/hyperlink" Id="rId11" Target="https://www.trela.com.br/" TargetMode="External" /><Relationship Type="http://schemas.openxmlformats.org/officeDocument/2006/relationships/hyperlink" Id="rId10" Target="https://www.ycombinator.com/companies/tre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2025-11-17T16:29:32Z</dcterms:created>
  <dcterms:modified xsi:type="dcterms:W3CDTF">2025-11-17T16:29:32Z</dcterms:modified>
</cp:coreProperties>
</file>

<file path=docProps/custom.xml><?xml version="1.0" encoding="utf-8"?>
<Properties xmlns="http://schemas.openxmlformats.org/officeDocument/2006/custom-properties" xmlns:vt="http://schemas.openxmlformats.org/officeDocument/2006/docPropsVTypes"/>
</file>