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Aviation and Aerospace Ransomware Escalation Sector Daily Threat Update</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2026-08-29</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Aviation and Aerospace Ransomware Escalation Sector Daily Threat Update - Threat Report</w:t>
      </w:r>
    </w:p>
    <w:p>
      <w:pPr>
        <w:spacing w:after="200" w:before="0"/>
        <w:jc w:val="left"/>
      </w:pPr>
      <w:r>
        <w:rPr>
          <w:rFonts w:ascii="Liberation Serif" w:hAnsi="Liberation Serif" w:eastAsia="Liberation Serif"/>
          <w:b w:val="0"/>
          <w:i w:val="0"/>
          <w:color w:val="000000"/>
          <w:sz w:val="18"/>
        </w:rPr>
        <w:t>Published: 2026-08-29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Activity Overview</w:t>
      </w:r>
    </w:p>
    <w:p>
      <w:pPr>
        <w:spacing w:after="80" w:before="0"/>
        <w:ind w:left="0"/>
        <w:jc w:val="left"/>
      </w:pPr>
      <w:r>
        <w:rPr>
          <w:rFonts w:ascii="Liberation Serif" w:hAnsi="Liberation Serif" w:eastAsia="Liberation Serif"/>
          <w:b w:val="0"/>
          <w:i w:val="0"/>
          <w:color w:val="000000"/>
          <w:sz w:val="20"/>
        </w:rPr>
        <w:t>5. Affected Sectors and Exposure</w:t>
      </w:r>
    </w:p>
    <w:p>
      <w:pPr>
        <w:spacing w:after="80" w:before="0"/>
        <w:ind w:left="0"/>
        <w:jc w:val="left"/>
      </w:pPr>
      <w:r>
        <w:rPr>
          <w:rFonts w:ascii="Liberation Serif" w:hAnsi="Liberation Serif" w:eastAsia="Liberation Serif"/>
          <w:b w:val="0"/>
          <w:i w:val="0"/>
          <w:color w:val="000000"/>
          <w:sz w:val="20"/>
        </w:rPr>
        <w:t>6. Aviation / Aerospace Sector Impact</w:t>
      </w:r>
    </w:p>
    <w:p>
      <w:pPr>
        <w:spacing w:after="80" w:before="0"/>
        <w:ind w:left="0"/>
        <w:jc w:val="left"/>
      </w:pPr>
      <w:r>
        <w:rPr>
          <w:rFonts w:ascii="Liberation Serif" w:hAnsi="Liberation Serif" w:eastAsia="Liberation Serif"/>
          <w:b w:val="0"/>
          <w:i w:val="0"/>
          <w:color w:val="000000"/>
          <w:sz w:val="20"/>
        </w:rPr>
        <w:t>7. Tactics, Techniques, and Procedures</w:t>
      </w:r>
    </w:p>
    <w:p>
      <w:pPr>
        <w:spacing w:after="80" w:before="0"/>
        <w:ind w:left="0"/>
        <w:jc w:val="left"/>
      </w:pPr>
      <w:r>
        <w:rPr>
          <w:rFonts w:ascii="Liberation Serif" w:hAnsi="Liberation Serif" w:eastAsia="Liberation Serif"/>
          <w:b w:val="0"/>
          <w:i w:val="0"/>
          <w:color w:val="000000"/>
          <w:sz w:val="20"/>
        </w:rPr>
        <w:t>8. Infrastructure and Indicators</w:t>
      </w:r>
    </w:p>
    <w:p>
      <w:pPr>
        <w:spacing w:after="80" w:before="0"/>
        <w:ind w:left="0"/>
        <w:jc w:val="left"/>
      </w:pPr>
      <w:r>
        <w:rPr>
          <w:rFonts w:ascii="Liberation Serif" w:hAnsi="Liberation Serif" w:eastAsia="Liberation Serif"/>
          <w:b w:val="0"/>
          <w:i w:val="0"/>
          <w:color w:val="000000"/>
          <w:sz w:val="20"/>
        </w:rPr>
        <w:t>9. Detection Engineering</w:t>
      </w:r>
    </w:p>
    <w:p>
      <w:pPr>
        <w:spacing w:after="80" w:before="0"/>
        <w:ind w:left="360"/>
        <w:jc w:val="left"/>
      </w:pPr>
      <w:r>
        <w:rPr>
          <w:rFonts w:ascii="Liberation Serif" w:hAnsi="Liberation Serif" w:eastAsia="Liberation Serif"/>
          <w:b w:val="0"/>
          <w:i w:val="0"/>
          <w:color w:val="000000"/>
          <w:sz w:val="20"/>
        </w:rPr>
        <w:t>9.1. Detection Summary</w:t>
      </w:r>
    </w:p>
    <w:p>
      <w:pPr>
        <w:spacing w:after="80" w:before="0"/>
        <w:ind w:left="360"/>
        <w:jc w:val="left"/>
      </w:pPr>
      <w:r>
        <w:rPr>
          <w:rFonts w:ascii="Liberation Serif" w:hAnsi="Liberation Serif" w:eastAsia="Liberation Serif"/>
          <w:b w:val="0"/>
          <w:i w:val="0"/>
          <w:color w:val="000000"/>
          <w:sz w:val="20"/>
        </w:rPr>
        <w:t>9.2. Sigma / Detection Content</w:t>
      </w:r>
    </w:p>
    <w:p>
      <w:pPr>
        <w:spacing w:after="80" w:before="0"/>
        <w:ind w:left="360"/>
        <w:jc w:val="left"/>
      </w:pPr>
      <w:r>
        <w:rPr>
          <w:rFonts w:ascii="Liberation Serif" w:hAnsi="Liberation Serif" w:eastAsia="Liberation Serif"/>
          <w:b w:val="0"/>
          <w:i w:val="0"/>
          <w:color w:val="000000"/>
          <w:sz w:val="20"/>
        </w:rPr>
        <w:t>9.3. Hunt Query</w:t>
      </w:r>
    </w:p>
    <w:p>
      <w:pPr>
        <w:spacing w:after="80" w:before="0"/>
        <w:ind w:left="0"/>
        <w:jc w:val="left"/>
      </w:pPr>
      <w:r>
        <w:rPr>
          <w:rFonts w:ascii="Liberation Serif" w:hAnsi="Liberation Serif" w:eastAsia="Liberation Serif"/>
          <w:b w:val="0"/>
          <w:i w:val="0"/>
          <w:color w:val="000000"/>
          <w:sz w:val="20"/>
        </w:rPr>
        <w:t>10. Threat Hunting</w:t>
      </w:r>
    </w:p>
    <w:p>
      <w:pPr>
        <w:spacing w:after="80" w:before="0"/>
        <w:ind w:left="360"/>
        <w:jc w:val="left"/>
      </w:pPr>
      <w:r>
        <w:rPr>
          <w:rFonts w:ascii="Liberation Serif" w:hAnsi="Liberation Serif" w:eastAsia="Liberation Serif"/>
          <w:b w:val="0"/>
          <w:i w:val="0"/>
          <w:color w:val="000000"/>
          <w:sz w:val="20"/>
        </w:rPr>
        <w:t>10.1. Hunt Hypothesis</w:t>
      </w:r>
    </w:p>
    <w:p>
      <w:pPr>
        <w:spacing w:after="80" w:before="0"/>
        <w:ind w:left="360"/>
        <w:jc w:val="left"/>
      </w:pPr>
      <w:r>
        <w:rPr>
          <w:rFonts w:ascii="Liberation Serif" w:hAnsi="Liberation Serif" w:eastAsia="Liberation Serif"/>
          <w:b w:val="0"/>
          <w:i w:val="0"/>
          <w:color w:val="000000"/>
          <w:sz w:val="20"/>
        </w:rPr>
        <w:t>10.2. Hunt Query</w:t>
      </w:r>
    </w:p>
    <w:p>
      <w:pPr>
        <w:spacing w:after="80" w:before="0"/>
        <w:ind w:left="0"/>
        <w:jc w:val="left"/>
      </w:pPr>
      <w:r>
        <w:rPr>
          <w:rFonts w:ascii="Liberation Serif" w:hAnsi="Liberation Serif" w:eastAsia="Liberation Serif"/>
          <w:b w:val="0"/>
          <w:i w:val="0"/>
          <w:color w:val="000000"/>
          <w:sz w:val="20"/>
        </w:rPr>
        <w:t>11. Risk Assessment</w:t>
      </w:r>
    </w:p>
    <w:p>
      <w:pPr>
        <w:spacing w:after="80" w:before="0"/>
        <w:ind w:left="0"/>
        <w:jc w:val="left"/>
      </w:pPr>
      <w:r>
        <w:rPr>
          <w:rFonts w:ascii="Liberation Serif" w:hAnsi="Liberation Serif" w:eastAsia="Liberation Serif"/>
          <w:b w:val="0"/>
          <w:i w:val="0"/>
          <w:color w:val="000000"/>
          <w:sz w:val="20"/>
        </w:rPr>
        <w:t>12. Recommended Actions</w:t>
      </w:r>
    </w:p>
    <w:p>
      <w:pPr>
        <w:spacing w:after="80" w:before="0"/>
        <w:ind w:left="0"/>
        <w:jc w:val="left"/>
      </w:pPr>
      <w:r>
        <w:rPr>
          <w:rFonts w:ascii="Liberation Serif" w:hAnsi="Liberation Serif" w:eastAsia="Liberation Serif"/>
          <w:b w:val="0"/>
          <w:i w:val="0"/>
          <w:color w:val="000000"/>
          <w:sz w:val="20"/>
        </w:rPr>
        <w:t>13.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Aviation and Aerospace Ransomware Escalation Sector Daily Threat Update</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Aviation and Aerospace Ransomware Escalation Sector Daily Threat Update is selected for the 2026-08-29 daily intelligence run because current public reporting describes activity or sector exposure that defenders should review within the next operating cycle. The core issue is ransomware and data-extortion groups increasingly targeting airlines, airports, aerospace suppliers, and aviation service providers.</w:t>
      </w:r>
    </w:p>
    <w:p>
      <w:pPr>
        <w:spacing w:after="120" w:before="0"/>
        <w:jc w:val="left"/>
      </w:pPr>
      <w:r>
        <w:rPr>
          <w:rFonts w:ascii="Liberation Serif" w:hAnsi="Liberation Serif" w:eastAsia="Liberation Serif"/>
          <w:b w:val="0"/>
          <w:i w:val="0"/>
          <w:color w:val="000000"/>
          <w:sz w:val="20"/>
        </w:rPr>
        <w:t>The priority is not limited to direct victims named in media reporting. Organizations with similar technology, identity, supplier, managed-service, or aviation/aerospace dependencies should use this report to run targeted exposure checks and behavioral hunts.</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Question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Current Answer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is the defender decision today?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Determine whether local technology, users, suppliers, or sector workflows match the reported exposure and run hunts.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Are hard IOCs available?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validated daily IOC set was available in this source bundle; detection is behavior/exposure oriented.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Is attribution confirmed?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This report avoids attribution beyond cited source language.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PolySwarm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Sector overview of ransomware, shared IT, identity, GNSS, and satellite dependency risks.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CybersecurityNews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Reports ransomware/data extortion intensifying against aviation and aerospace.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GBHackers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Additional sector reporting on aviation/aerospace targeting.</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CISA StopRansomware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Authoritative mitigation hub for ransomware defense.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Activity Overview</w:t>
      </w:r>
    </w:p>
    <w:p>
      <w:pPr>
        <w:spacing w:after="120" w:before="0"/>
        <w:jc w:val="left"/>
      </w:pPr>
      <w:r>
        <w:rPr>
          <w:rFonts w:ascii="Liberation Serif" w:hAnsi="Liberation Serif" w:eastAsia="Liberation Serif"/>
          <w:b w:val="0"/>
          <w:i w:val="0"/>
          <w:color w:val="000000"/>
          <w:sz w:val="20"/>
        </w:rPr>
        <w:t>The reporting cluster centers on ransomware and data-extortion groups increasingly targeting airlines, airports, aerospace suppliers, and aviation service providers. Lost Boys Cyber treats this as a practical defensive issue: verify exposure, reduce reachable attack surface, and collect telemetry that confirms or disproves local compromise.</w:t>
      </w:r>
    </w:p>
    <w:p>
      <w:pPr>
        <w:pStyle w:val="Heading2"/>
        <w:spacing w:after="120" w:before="120"/>
        <w:jc w:val="left"/>
      </w:pPr>
      <w:r>
        <w:rPr>
          <w:rFonts w:ascii="Liberation Serif" w:hAnsi="Liberation Serif" w:eastAsia="Liberation Serif"/>
          <w:b/>
          <w:i w:val="0"/>
          <w:color w:val="123D63"/>
          <w:sz w:val="26"/>
        </w:rPr>
        <w:t>5. Affected Sectors and Exposure</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Pattern</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Risk</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Airlines, airports, MRO providers, aerospace manufacturers, ground handlers, shared airport IT providers.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High-priority environments should validate controls and third-party dependencies.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and privileged administration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Valid-account abuse can bypass perimeter prevention and accelerate lateral movement.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Shared suppliers and service providers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Single-provider compromise can create multi-organization blast radius.</w:t>
            </w:r>
          </w:p>
        </w:tc>
      </w:tr>
    </w:tbl>
    <w:p>
      <w:pPr>
        <w:pStyle w:val="Heading2"/>
        <w:spacing w:after="120" w:before="120"/>
        <w:jc w:val="left"/>
      </w:pPr>
      <w:r>
        <w:rPr>
          <w:rFonts w:ascii="Liberation Serif" w:hAnsi="Liberation Serif" w:eastAsia="Liberation Serif"/>
          <w:b/>
          <w:i w:val="0"/>
          <w:color w:val="123D63"/>
          <w:sz w:val="26"/>
        </w:rPr>
        <w:t>6. Aviation / Aerospace Sector Impact</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Sector Element</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Affected segment</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Airlines, airports, MRO providers, aerospace manufacturers, ground handlers, shared airport IT providers.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Operational relevance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Disruption, fraud, credential compromise, or supplier impact can degrade flight operations, customer trust, maintenance workflows, or aerospace delivery chains even when aircraft safety systems are not directly targeted.</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Likely exposure paths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Third-party service providers, identity platforms, shared airport systems, internet-facing remote access, CI/CD, and contractor access.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Supply-chain considerations</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managed service providers, software suppliers, ground handlers, reservation/loyalty vendors, and connectivity providers before assuming the issue is isolated.</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Defender actions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Inventory exposure, harden MFA and privileged access, review logs with the hunts below, and confirm vendor remediation.</w:t>
            </w:r>
          </w:p>
        </w:tc>
      </w:tr>
    </w:tbl>
    <w:p>
      <w:pPr>
        <w:pStyle w:val="Heading2"/>
        <w:spacing w:after="120" w:before="120"/>
        <w:jc w:val="left"/>
      </w:pPr>
      <w:r>
        <w:rPr>
          <w:rFonts w:ascii="Liberation Serif" w:hAnsi="Liberation Serif" w:eastAsia="Liberation Serif"/>
          <w:b/>
          <w:i w:val="0"/>
          <w:color w:val="123D63"/>
          <w:sz w:val="26"/>
        </w:rPr>
        <w:t>7.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Tactic / Phase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Observed Technique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compromise/shared-platform abuse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Sector reporting emphasizes identity and third-party platform exposure.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Lateral Movement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Shared service-provider access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Ground operations and airport platforms can bridge organizations.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Operational disruption and data extortion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Airport/airline operations depend on high-availability IT.</w:t>
            </w:r>
          </w:p>
        </w:tc>
      </w:tr>
    </w:tbl>
    <w:p>
      <w:pPr>
        <w:pStyle w:val="Heading2"/>
        <w:spacing w:after="120" w:before="120"/>
        <w:jc w:val="left"/>
      </w:pPr>
      <w:r>
        <w:rPr>
          <w:rFonts w:ascii="Liberation Serif" w:hAnsi="Liberation Serif" w:eastAsia="Liberation Serif"/>
          <w:b/>
          <w:i w:val="0"/>
          <w:color w:val="123D63"/>
          <w:sz w:val="26"/>
        </w:rPr>
        <w:t>8.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Indicator / Infrastructure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Use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hard IOCs in this daily bundle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 limitation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Use behavioral hunts until validated IOCs are available.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Public-facing management, identity, developer, or sector-service endpoints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Exposure class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Prioritize asset inventory and logging.</w:t>
            </w:r>
          </w:p>
        </w:tc>
      </w:tr>
    </w:tbl>
    <w:p>
      <w:pPr>
        <w:pStyle w:val="Heading2"/>
        <w:spacing w:after="120" w:before="120"/>
        <w:jc w:val="left"/>
      </w:pPr>
      <w:r>
        <w:rPr>
          <w:rFonts w:ascii="Liberation Serif" w:hAnsi="Liberation Serif" w:eastAsia="Liberation Serif"/>
          <w:b/>
          <w:i w:val="0"/>
          <w:color w:val="123D63"/>
          <w:sz w:val="26"/>
        </w:rPr>
        <w:t>9. Detection Engineering</w:t>
      </w:r>
    </w:p>
    <w:p>
      <w:pPr>
        <w:pStyle w:val="Heading3"/>
        <w:spacing w:after="80" w:before="80"/>
        <w:jc w:val="left"/>
      </w:pPr>
      <w:r>
        <w:rPr>
          <w:rFonts w:ascii="Liberation Serif" w:hAnsi="Liberation Serif" w:eastAsia="Liberation Serif"/>
          <w:b/>
          <w:i w:val="0"/>
          <w:color w:val="000000"/>
          <w:sz w:val="22"/>
        </w:rPr>
        <w:t>9.1. Detection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Suspicious administrative or scripting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DeviceProcessEvents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hands-on-keyboard or automated intrusion behavior.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outbound connections from high-value services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DeviceNetworkEvents / proxy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payload staging, exfiltration, or C2.</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changes and failed/successful login anomalies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SigninLogs / AuditLogs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account takeover, help-desk abuse, or privilege escalation.</w:t>
            </w:r>
          </w:p>
        </w:tc>
      </w:tr>
    </w:tbl>
    <w:p>
      <w:pPr>
        <w:pStyle w:val="Heading3"/>
        <w:spacing w:after="80" w:before="80"/>
        <w:jc w:val="left"/>
      </w:pPr>
      <w:r>
        <w:rPr>
          <w:rFonts w:ascii="Liberation Serif" w:hAnsi="Liberation Serif" w:eastAsia="Liberation Serif"/>
          <w:b/>
          <w:i w:val="0"/>
          <w:color w:val="000000"/>
          <w:sz w:val="22"/>
        </w:rPr>
        <w:t>9.2. Sigma / Detection Content</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Aviation Ransomware Escalation Daily Threat Behavior</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Behavior-oriented analytic for ransomware and data-extortion groups increasingly targeting airlines, airports, aerospace suppliers, and aviation service providers.</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suspicious_tools:</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'\rclone.exe'</w:t>
            </w:r>
          </w:p>
          <w:p>
            <w:pPr>
              <w:spacing w:before="0" w:after="0"/>
              <w:ind w:left="0"/>
            </w:pPr>
            <w:r/>
            <w:r>
              <w:rPr>
                <w:rFonts w:ascii="Liberation Mono" w:hAnsi="Liberation Mono" w:eastAsia="Liberation Mono"/>
                <w:color w:val="000000"/>
                <w:sz w:val="16"/>
              </w:rPr>
              <w:t xml:space="preserve">  suspicious_args:</w:t>
            </w:r>
          </w:p>
          <w:p>
            <w:pPr>
              <w:spacing w:before="0" w:after="0"/>
              <w:ind w:left="0"/>
            </w:pPr>
            <w:r/>
            <w:r>
              <w:rPr>
                <w:rFonts w:ascii="Liberation Mono" w:hAnsi="Liberation Mono" w:eastAsia="Liberation Mono"/>
                <w:color w:val="000000"/>
                <w:sz w:val="16"/>
              </w:rPr>
              <w:t xml:space="preserve">    CommandLine|contains:</w:t>
            </w:r>
          </w:p>
          <w:p>
            <w:pPr>
              <w:spacing w:before="0" w:after="0"/>
              <w:ind w:left="0"/>
            </w:pPr>
            <w:r/>
            <w:r>
              <w:rPr>
                <w:rFonts w:ascii="Liberation Mono" w:hAnsi="Liberation Mono" w:eastAsia="Liberation Mono"/>
                <w:color w:val="000000"/>
                <w:sz w:val="16"/>
              </w:rPr>
              <w:t xml:space="preserve">      - 'vssadmin delete shadows'</w:t>
            </w:r>
          </w:p>
          <w:p>
            <w:pPr>
              <w:spacing w:before="0" w:after="0"/>
              <w:ind w:left="0"/>
            </w:pPr>
            <w:r/>
            <w:r>
              <w:rPr>
                <w:rFonts w:ascii="Liberation Mono" w:hAnsi="Liberation Mono" w:eastAsia="Liberation Mono"/>
                <w:color w:val="000000"/>
                <w:sz w:val="16"/>
              </w:rPr>
              <w:t xml:space="preserve">      - 'wevtutil cl'</w:t>
            </w:r>
          </w:p>
          <w:p>
            <w:pPr>
              <w:spacing w:before="0" w:after="0"/>
              <w:ind w:left="0"/>
            </w:pPr>
            <w:r/>
            <w:r>
              <w:rPr>
                <w:rFonts w:ascii="Liberation Mono" w:hAnsi="Liberation Mono" w:eastAsia="Liberation Mono"/>
                <w:color w:val="000000"/>
                <w:sz w:val="16"/>
              </w:rPr>
              <w:t xml:space="preserve">      - 'curl '</w:t>
            </w:r>
          </w:p>
          <w:p>
            <w:pPr>
              <w:spacing w:before="0" w:after="0"/>
              <w:ind w:left="0"/>
            </w:pPr>
            <w:r/>
            <w:r>
              <w:rPr>
                <w:rFonts w:ascii="Liberation Mono" w:hAnsi="Liberation Mono" w:eastAsia="Liberation Mono"/>
                <w:color w:val="000000"/>
                <w:sz w:val="16"/>
              </w:rPr>
              <w:t xml:space="preserve">      - 'wget '</w:t>
            </w:r>
          </w:p>
          <w:p>
            <w:pPr>
              <w:spacing w:before="0" w:after="0"/>
              <w:ind w:left="0"/>
            </w:pPr>
            <w:r/>
            <w:r>
              <w:rPr>
                <w:rFonts w:ascii="Liberation Mono" w:hAnsi="Liberation Mono" w:eastAsia="Liberation Mono"/>
                <w:color w:val="000000"/>
                <w:sz w:val="16"/>
              </w:rPr>
              <w:t xml:space="preserve">      - 'Invoke-WebRequest'</w:t>
            </w:r>
          </w:p>
          <w:p>
            <w:pPr>
              <w:spacing w:before="0" w:after="0"/>
              <w:ind w:left="0"/>
            </w:pPr>
            <w:r/>
            <w:r>
              <w:rPr>
                <w:rFonts w:ascii="Liberation Mono" w:hAnsi="Liberation Mono" w:eastAsia="Liberation Mono"/>
                <w:color w:val="000000"/>
                <w:sz w:val="16"/>
              </w:rPr>
              <w:t xml:space="preserve">  condition: suspicious_tools or suspicious_args</w:t>
            </w:r>
          </w:p>
          <w:p>
            <w:pPr>
              <w:spacing w:before="0" w:after="0"/>
              <w:ind w:left="0"/>
            </w:pPr>
            <w:r/>
            <w:r>
              <w:rPr>
                <w:rFonts w:ascii="Liberation Mono" w:hAnsi="Liberation Mono" w:eastAsia="Liberation Mono"/>
                <w:color w:val="000000"/>
                <w:sz w:val="16"/>
              </w:rPr>
              <w:t>level: high</w:t>
            </w:r>
          </w:p>
        </w:tc>
      </w:tr>
    </w:tbl>
    <w:p>
      <w:pPr>
        <w:pStyle w:val="Heading3"/>
        <w:spacing w:after="80" w:before="80"/>
        <w:jc w:val="left"/>
      </w:pPr>
      <w:r>
        <w:rPr>
          <w:rFonts w:ascii="Liberation Serif" w:hAnsi="Liberation Serif" w:eastAsia="Liberation Serif"/>
          <w:b/>
          <w:i w:val="0"/>
          <w:color w:val="000000"/>
          <w:sz w:val="22"/>
        </w:rPr>
        <w:t>9.3.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 | where ProcessCommandLine has_any ('vssadmin delete shadows','wevtutil cl','bcdedit /set')</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project Timestamp, DeviceName, FileName, InitiatingProcessFileName, ProcessCommandLine</w:t>
            </w:r>
          </w:p>
        </w:tc>
      </w:tr>
    </w:tbl>
    <w:p>
      <w:pPr>
        <w:pStyle w:val="Heading2"/>
        <w:spacing w:after="120" w:before="120"/>
        <w:jc w:val="left"/>
      </w:pPr>
      <w:r>
        <w:rPr>
          <w:rFonts w:ascii="Liberation Serif" w:hAnsi="Liberation Serif" w:eastAsia="Liberation Serif"/>
          <w:b/>
          <w:i w:val="0"/>
          <w:color w:val="123D63"/>
          <w:sz w:val="26"/>
        </w:rPr>
        <w:t>10. Threat Hunting</w:t>
      </w:r>
    </w:p>
    <w:p>
      <w:pPr>
        <w:pStyle w:val="Heading3"/>
        <w:spacing w:after="80" w:before="80"/>
        <w:jc w:val="left"/>
      </w:pPr>
      <w:r>
        <w:rPr>
          <w:rFonts w:ascii="Liberation Serif" w:hAnsi="Liberation Serif" w:eastAsia="Liberation Serif"/>
          <w:b/>
          <w:i w:val="0"/>
          <w:color w:val="000000"/>
          <w:sz w:val="22"/>
        </w:rPr>
        <w:t>10.1. Hunt Hypothesis</w:t>
      </w:r>
    </w:p>
    <w:p>
      <w:pPr>
        <w:spacing w:after="120" w:before="0"/>
        <w:jc w:val="left"/>
      </w:pPr>
      <w:r>
        <w:rPr>
          <w:rFonts w:ascii="Liberation Serif" w:hAnsi="Liberation Serif" w:eastAsia="Liberation Serif"/>
          <w:b w:val="0"/>
          <w:i w:val="0"/>
          <w:color w:val="000000"/>
          <w:sz w:val="20"/>
        </w:rPr>
        <w:t>Local environments matching the reported exposure will show anomalous scripting, identity, remote-access, or data-movement activity before any formal incident declaration.</w:t>
      </w:r>
    </w:p>
    <w:p>
      <w:pPr>
        <w:pStyle w:val="Heading3"/>
        <w:spacing w:after="80" w:before="80"/>
        <w:jc w:val="left"/>
      </w:pPr>
      <w:r>
        <w:rPr>
          <w:rFonts w:ascii="Liberation Serif" w:hAnsi="Liberation Serif" w:eastAsia="Liberation Serif"/>
          <w:b/>
          <w:i w:val="0"/>
          <w:color w:val="000000"/>
          <w:sz w:val="22"/>
        </w:rPr>
        <w:t>10.2.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DeviceEvents | where ActionType has_any ('TamperProtectionDisabled','AntivirusSignatureDisabled')</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summarize count(), min(Timestamp), max(Timestamp), make_set(RemoteUrl, 20) by DeviceName, InitiatingProcessFileName, InitiatingProcessAccountName</w:t>
            </w:r>
          </w:p>
          <w:p>
            <w:pPr>
              <w:spacing w:before="0" w:after="0"/>
              <w:ind w:left="0"/>
            </w:pPr>
            <w:r/>
            <w:r>
              <w:rPr>
                <w:rFonts w:ascii="Liberation Mono" w:hAnsi="Liberation Mono" w:eastAsia="Liberation Mono"/>
                <w:color w:val="000000"/>
                <w:sz w:val="16"/>
              </w:rPr>
              <w:t>| order by count_ desc</w:t>
            </w:r>
          </w:p>
        </w:tc>
      </w:tr>
    </w:tbl>
    <w:p>
      <w:pPr>
        <w:pStyle w:val="Heading2"/>
        <w:spacing w:after="120" w:before="120"/>
        <w:jc w:val="left"/>
      </w:pPr>
      <w:r>
        <w:rPr>
          <w:rFonts w:ascii="Liberation Serif" w:hAnsi="Liberation Serif" w:eastAsia="Liberation Serif"/>
          <w:b/>
          <w:i w:val="0"/>
          <w:color w:val="123D63"/>
          <w:sz w:val="26"/>
        </w:rPr>
        <w:t>11. Risk Assessment</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Risk Driver</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Elevated where exposed technology or sector dependencies match the source reporting.</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Potential for ransomware, data theft, credential compromise, service disruption, or customer fraud depending on the topic.</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based on publicly available reporting and no private telemetry in this run.</w:t>
            </w:r>
          </w:p>
        </w:tc>
      </w:tr>
    </w:tbl>
    <w:p>
      <w:pPr>
        <w:pStyle w:val="Heading2"/>
        <w:spacing w:after="120" w:before="120"/>
        <w:jc w:val="left"/>
      </w:pPr>
      <w:r>
        <w:rPr>
          <w:rFonts w:ascii="Liberation Serif" w:hAnsi="Liberation Serif" w:eastAsia="Liberation Serif"/>
          <w:b/>
          <w:i w:val="0"/>
          <w:color w:val="123D63"/>
          <w:sz w:val="26"/>
        </w:rPr>
        <w:t>12. Recommended Actions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Asset / Platform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Confirm whether the reported technology, service provider, or workflow exists locally.</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Execute the embedded KQL hunts and retain 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MFA, privileged access, help-desk reset paths, and third-party admin accounts.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Management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Ask suppliers for patch, breach, and monitoring attestations where relevant.</w:t>
            </w:r>
          </w:p>
        </w:tc>
      </w:tr>
    </w:tbl>
    <w:p>
      <w:pPr>
        <w:pStyle w:val="Heading2"/>
        <w:spacing w:after="120" w:before="120"/>
        <w:jc w:val="left"/>
      </w:pPr>
      <w:r>
        <w:rPr>
          <w:rFonts w:ascii="Liberation Serif" w:hAnsi="Liberation Serif" w:eastAsia="Liberation Serif"/>
          <w:b/>
          <w:i w:val="0"/>
          <w:color w:val="123D63"/>
          <w:sz w:val="26"/>
        </w:rPr>
        <w:t>13. References</w:t>
      </w:r>
    </w:p>
    <w:p>
      <w:pPr>
        <w:pStyle w:val="ListBullet"/>
        <w:spacing w:after="40" w:before="0"/>
        <w:jc w:val="left"/>
      </w:pPr>
      <w:r>
        <w:rPr>
          <w:rFonts w:ascii="Liberation Serif" w:hAnsi="Liberation Serif" w:eastAsia="Liberation Serif"/>
          <w:b w:val="0"/>
          <w:i w:val="0"/>
          <w:color w:val="000000"/>
          <w:sz w:val="20"/>
        </w:rPr>
        <w:t>[PolySwarm](https://blog.polyswarm.io/turbulence-ahead-cyber-threats-targeting-aviation-and-aerospace-in-2026) — Sector overview of ransomware, shared IT, identity, GNSS, and satellite dependency risks.</w:t>
      </w:r>
    </w:p>
    <w:p>
      <w:pPr>
        <w:pStyle w:val="ListBullet"/>
        <w:spacing w:after="40" w:before="0"/>
        <w:jc w:val="left"/>
      </w:pPr>
      <w:r>
        <w:rPr>
          <w:rFonts w:ascii="Liberation Serif" w:hAnsi="Liberation Serif" w:eastAsia="Liberation Serif"/>
          <w:b w:val="0"/>
          <w:i w:val="0"/>
          <w:color w:val="000000"/>
          <w:sz w:val="20"/>
        </w:rPr>
        <w:t>[CybersecurityNews](https://cybersecuritynews.com/ransomware-groups-intensify-targeting-of-aviation/) — Reports ransomware/data extortion intensifying against aviation and aerospace.</w:t>
      </w:r>
    </w:p>
    <w:p>
      <w:pPr>
        <w:pStyle w:val="ListBullet"/>
        <w:spacing w:after="40" w:before="0"/>
        <w:jc w:val="left"/>
      </w:pPr>
      <w:r>
        <w:rPr>
          <w:rFonts w:ascii="Liberation Serif" w:hAnsi="Liberation Serif" w:eastAsia="Liberation Serif"/>
          <w:b w:val="0"/>
          <w:i w:val="0"/>
          <w:color w:val="000000"/>
          <w:sz w:val="20"/>
        </w:rPr>
        <w:t>[GBHackers](https://gbhackers.com/attacks-on-aviation-and-aerospace/) — Additional sector reporting on aviation/aerospace targeting.</w:t>
      </w:r>
    </w:p>
    <w:p>
      <w:pPr>
        <w:pStyle w:val="ListBullet"/>
        <w:spacing w:after="40" w:before="0"/>
        <w:jc w:val="left"/>
      </w:pPr>
      <w:r>
        <w:rPr>
          <w:rFonts w:ascii="Liberation Serif" w:hAnsi="Liberation Serif" w:eastAsia="Liberation Serif"/>
          <w:b w:val="0"/>
          <w:i w:val="0"/>
          <w:color w:val="000000"/>
          <w:sz w:val="20"/>
        </w:rPr>
        <w:t>[CISA StopRansomware](https://www.cisa.gov/stopransomware) — Authoritative mitigation hub for ransomware defense.</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Aviation Ransomware Escalation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