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480560" cy="1458071"/>
            <wp:docPr id="1" name="Picture 1"/>
            <wp:cNvGraphicFramePr>
              <a:graphicFrameLocks noChangeAspect="1"/>
            </wp:cNvGraphicFramePr>
            <a:graphic>
              <a:graphicData uri="http://schemas.openxmlformats.org/drawingml/2006/picture">
                <pic:pic>
                  <pic:nvPicPr>
                    <pic:cNvPr id="0" name="lost-boys-cyber-logo-titlepage.png"/>
                    <pic:cNvPicPr/>
                  </pic:nvPicPr>
                  <pic:blipFill>
                    <a:blip r:embed="rId9"/>
                    <a:stretch>
                      <a:fillRect/>
                    </a:stretch>
                  </pic:blipFill>
                  <pic:spPr>
                    <a:xfrm>
                      <a:off x="0" y="0"/>
                      <a:ext cx="4480560" cy="1458071"/>
                    </a:xfrm>
                    <a:prstGeom prst="rect"/>
                  </pic:spPr>
                </pic:pic>
              </a:graphicData>
            </a:graphic>
          </wp:inline>
        </w:drawing>
      </w:r>
    </w:p>
    <w:p>
      <w:pPr>
        <w:spacing w:after="2600"/>
      </w:pPr>
    </w:p>
    <w:p>
      <w:pPr>
        <w:spacing w:after="120" w:before="0"/>
        <w:jc w:val="left"/>
      </w:pPr>
      <w:r>
        <w:rPr>
          <w:rFonts w:ascii="Liberation Serif" w:hAnsi="Liberation Serif" w:eastAsia="Liberation Serif"/>
          <w:b/>
          <w:i w:val="0"/>
          <w:color w:val="123D63"/>
          <w:sz w:val="32"/>
        </w:rPr>
        <w:t>Gunra Ransomware Fortinet Exploitation Advisory Daily Threat Update</w:t>
      </w:r>
    </w:p>
    <w:p>
      <w:pPr>
        <w:spacing w:after="200" w:before="0"/>
        <w:jc w:val="left"/>
      </w:pPr>
      <w:r>
        <w:rPr>
          <w:rFonts w:ascii="Liberation Serif" w:hAnsi="Liberation Serif" w:eastAsia="Liberation Serif"/>
          <w:b w:val="0"/>
          <w:i w:val="0"/>
          <w:color w:val="000000"/>
          <w:sz w:val="20"/>
        </w:rPr>
        <w:t>Threat Report</w:t>
      </w:r>
    </w:p>
    <w:tbl>
      <w:tblPr>
        <w:tblW w:type="auto" w:w="0"/>
        <w:jc w:val="left"/>
        <w:tblLayout w:type="fixed"/>
        <w:tblLook w:firstColumn="1" w:firstRow="1" w:lastColumn="0" w:lastRow="0" w:noHBand="0" w:noVBand="1" w:val="04A0"/>
      </w:tblPr>
      <w:tblGrid>
        <w:gridCol w:w="5083"/>
        <w:gridCol w:w="5083"/>
      </w:tblGrid>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Classification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TLP:CLEAR</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Published</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2026-08-29</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Version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1.0</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Author</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Lost Boys Cyber</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Report Type</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Threat Report</w:t>
            </w:r>
          </w:p>
        </w:tc>
      </w:tr>
    </w:tbl>
    <w:p/>
    <w:p>
      <w:pPr>
        <w:spacing w:after="40" w:before="0"/>
        <w:jc w:val="left"/>
      </w:pPr>
      <w:r>
        <w:rPr>
          <w:rFonts w:ascii="Liberation Serif" w:hAnsi="Liberation Serif" w:eastAsia="Liberation Serif"/>
          <w:b w:val="0"/>
          <w:i w:val="0"/>
          <w:color w:val="123D63"/>
          <w:sz w:val="18"/>
        </w:rPr>
        <w:t>TLP:CLEAR | Lost Boys Cyber | Gunra Ransomware Fortinet Exploitation Advisory Daily Threat Update - Threat Report</w:t>
      </w:r>
    </w:p>
    <w:p>
      <w:pPr>
        <w:spacing w:after="200" w:before="0"/>
        <w:jc w:val="left"/>
      </w:pPr>
      <w:r>
        <w:rPr>
          <w:rFonts w:ascii="Liberation Serif" w:hAnsi="Liberation Serif" w:eastAsia="Liberation Serif"/>
          <w:b w:val="0"/>
          <w:i w:val="0"/>
          <w:color w:val="000000"/>
          <w:sz w:val="18"/>
        </w:rPr>
        <w:t>Published: 2026-08-29 | TLP:CLEAR | Version: 1.0 | Author: Lost Boys Cyber</w:t>
      </w:r>
    </w:p>
    <w:tbl>
      <w:tblPr>
        <w:tblW w:type="auto" w:w="0"/>
        <w:jc w:val="left"/>
        <w:tblLayout w:type="fixed"/>
        <w:tblLook w:firstColumn="1" w:firstRow="1" w:lastColumn="0" w:lastRow="0" w:noHBand="0" w:noVBand="1" w:val="04A0"/>
      </w:tblPr>
      <w:tblGrid>
        <w:gridCol w:w="10166"/>
      </w:tblGrid>
      <w:tr>
        <w:tc>
          <w:tcPr>
            <w:tcW w:type="dxa" w:w="10166"/>
            <w:vAlign w:val="center"/>
            <w:shd w:fill="EAF4FB"/>
            <w:tcBorders>
              <w:top w:val="single" w:sz="8" w:color="75A9CF"/>
              <w:left w:val="single" w:sz="8" w:color="75A9CF"/>
              <w:bottom w:val="single" w:sz="8" w:color="75A9CF"/>
              <w:right w:val="single" w:sz="8" w:color="75A9CF"/>
            </w:tcBorders>
          </w:tcPr>
          <w:p>
            <w:pPr>
              <w:jc w:val="left"/>
            </w:pPr>
            <w:r/>
            <w:r>
              <w:rPr>
                <w:rFonts w:ascii="Liberation Serif" w:hAnsi="Liberation Serif" w:eastAsia="Liberation Serif"/>
                <w:b w:val="0"/>
                <w:color w:val="000000"/>
                <w:sz w:val="18"/>
              </w:rPr>
              <w:t>AI Generation: This report was generated with AI assistance and is provided for informational purposes only. All findings, IOCs, detection rules, hunting queries, attribution assessments, and recommendations must be independently reviewed and validated by a qualified security professional before operational use.</w:t>
            </w:r>
          </w:p>
        </w:tc>
      </w:tr>
    </w:tbl>
    <w:p>
      <w:r>
        <w:br w:type="page"/>
      </w:r>
    </w:p>
    <w:p>
      <w:pPr>
        <w:sectPr>
          <w:footerReference w:type="default" r:id="rId10"/>
          <w:pgSz w:w="12240" w:h="15840"/>
          <w:pgMar w:top="1037" w:right="1037" w:bottom="1037" w:left="1037" w:header="720" w:footer="720" w:gutter="0"/>
          <w:cols w:space="720"/>
          <w:docGrid w:linePitch="360"/>
        </w:sectPr>
      </w:pPr>
    </w:p>
    <w:p>
      <w:pPr>
        <w:spacing w:after="240" w:before="0"/>
        <w:jc w:val="left"/>
      </w:pPr>
      <w:r>
        <w:rPr>
          <w:rFonts w:ascii="Liberation Serif" w:hAnsi="Liberation Serif" w:eastAsia="Liberation Serif"/>
          <w:b/>
          <w:i w:val="0"/>
          <w:color w:val="123D63"/>
          <w:sz w:val="28"/>
        </w:rPr>
        <w:t>Table of Contents</w:t>
      </w:r>
    </w:p>
    <w:p>
      <w:pPr>
        <w:spacing w:after="80" w:before="0"/>
        <w:ind w:left="0"/>
        <w:jc w:val="left"/>
      </w:pPr>
      <w:r>
        <w:rPr>
          <w:rFonts w:ascii="Liberation Serif" w:hAnsi="Liberation Serif" w:eastAsia="Liberation Serif"/>
          <w:b w:val="0"/>
          <w:i w:val="0"/>
          <w:color w:val="000000"/>
          <w:sz w:val="20"/>
        </w:rPr>
        <w:t>1. Executive Summary</w:t>
      </w:r>
    </w:p>
    <w:p>
      <w:pPr>
        <w:spacing w:after="80" w:before="0"/>
        <w:ind w:left="0"/>
        <w:jc w:val="left"/>
      </w:pPr>
      <w:r>
        <w:rPr>
          <w:rFonts w:ascii="Liberation Serif" w:hAnsi="Liberation Serif" w:eastAsia="Liberation Serif"/>
          <w:b w:val="0"/>
          <w:i w:val="0"/>
          <w:color w:val="000000"/>
          <w:sz w:val="20"/>
        </w:rPr>
        <w:t>2. Intelligence Requirements</w:t>
      </w:r>
    </w:p>
    <w:p>
      <w:pPr>
        <w:spacing w:after="80" w:before="0"/>
        <w:ind w:left="0"/>
        <w:jc w:val="left"/>
      </w:pPr>
      <w:r>
        <w:rPr>
          <w:rFonts w:ascii="Liberation Serif" w:hAnsi="Liberation Serif" w:eastAsia="Liberation Serif"/>
          <w:b w:val="0"/>
          <w:i w:val="0"/>
          <w:color w:val="000000"/>
          <w:sz w:val="20"/>
        </w:rPr>
        <w:t>3. Source Review &amp; Confidence</w:t>
      </w:r>
    </w:p>
    <w:p>
      <w:pPr>
        <w:spacing w:after="80" w:before="0"/>
        <w:ind w:left="0"/>
        <w:jc w:val="left"/>
      </w:pPr>
      <w:r>
        <w:rPr>
          <w:rFonts w:ascii="Liberation Serif" w:hAnsi="Liberation Serif" w:eastAsia="Liberation Serif"/>
          <w:b w:val="0"/>
          <w:i w:val="0"/>
          <w:color w:val="000000"/>
          <w:sz w:val="20"/>
        </w:rPr>
        <w:t>4. Threat Activity Overview</w:t>
      </w:r>
    </w:p>
    <w:p>
      <w:pPr>
        <w:spacing w:after="80" w:before="0"/>
        <w:ind w:left="0"/>
        <w:jc w:val="left"/>
      </w:pPr>
      <w:r>
        <w:rPr>
          <w:rFonts w:ascii="Liberation Serif" w:hAnsi="Liberation Serif" w:eastAsia="Liberation Serif"/>
          <w:b w:val="0"/>
          <w:i w:val="0"/>
          <w:color w:val="000000"/>
          <w:sz w:val="20"/>
        </w:rPr>
        <w:t>5. Affected Sectors and Exposure</w:t>
      </w:r>
    </w:p>
    <w:p>
      <w:pPr>
        <w:spacing w:after="80" w:before="0"/>
        <w:ind w:left="0"/>
        <w:jc w:val="left"/>
      </w:pPr>
      <w:r>
        <w:rPr>
          <w:rFonts w:ascii="Liberation Serif" w:hAnsi="Liberation Serif" w:eastAsia="Liberation Serif"/>
          <w:b w:val="0"/>
          <w:i w:val="0"/>
          <w:color w:val="000000"/>
          <w:sz w:val="20"/>
        </w:rPr>
        <w:t>6. Tactics, Techniques, and Procedures</w:t>
      </w:r>
    </w:p>
    <w:p>
      <w:pPr>
        <w:spacing w:after="80" w:before="0"/>
        <w:ind w:left="0"/>
        <w:jc w:val="left"/>
      </w:pPr>
      <w:r>
        <w:rPr>
          <w:rFonts w:ascii="Liberation Serif" w:hAnsi="Liberation Serif" w:eastAsia="Liberation Serif"/>
          <w:b w:val="0"/>
          <w:i w:val="0"/>
          <w:color w:val="000000"/>
          <w:sz w:val="20"/>
        </w:rPr>
        <w:t>7. Infrastructure and Indicators</w:t>
      </w:r>
    </w:p>
    <w:p>
      <w:pPr>
        <w:spacing w:after="80" w:before="0"/>
        <w:ind w:left="0"/>
        <w:jc w:val="left"/>
      </w:pPr>
      <w:r>
        <w:rPr>
          <w:rFonts w:ascii="Liberation Serif" w:hAnsi="Liberation Serif" w:eastAsia="Liberation Serif"/>
          <w:b w:val="0"/>
          <w:i w:val="0"/>
          <w:color w:val="000000"/>
          <w:sz w:val="20"/>
        </w:rPr>
        <w:t>8. Detection Engineering</w:t>
      </w:r>
    </w:p>
    <w:p>
      <w:pPr>
        <w:spacing w:after="80" w:before="0"/>
        <w:ind w:left="360"/>
        <w:jc w:val="left"/>
      </w:pPr>
      <w:r>
        <w:rPr>
          <w:rFonts w:ascii="Liberation Serif" w:hAnsi="Liberation Serif" w:eastAsia="Liberation Serif"/>
          <w:b w:val="0"/>
          <w:i w:val="0"/>
          <w:color w:val="000000"/>
          <w:sz w:val="20"/>
        </w:rPr>
        <w:t>8.1. Detection Summary</w:t>
      </w:r>
    </w:p>
    <w:p>
      <w:pPr>
        <w:spacing w:after="80" w:before="0"/>
        <w:ind w:left="360"/>
        <w:jc w:val="left"/>
      </w:pPr>
      <w:r>
        <w:rPr>
          <w:rFonts w:ascii="Liberation Serif" w:hAnsi="Liberation Serif" w:eastAsia="Liberation Serif"/>
          <w:b w:val="0"/>
          <w:i w:val="0"/>
          <w:color w:val="000000"/>
          <w:sz w:val="20"/>
        </w:rPr>
        <w:t>8.2. Sigma / Detection Content</w:t>
      </w:r>
    </w:p>
    <w:p>
      <w:pPr>
        <w:spacing w:after="80" w:before="0"/>
        <w:ind w:left="360"/>
        <w:jc w:val="left"/>
      </w:pPr>
      <w:r>
        <w:rPr>
          <w:rFonts w:ascii="Liberation Serif" w:hAnsi="Liberation Serif" w:eastAsia="Liberation Serif"/>
          <w:b w:val="0"/>
          <w:i w:val="0"/>
          <w:color w:val="000000"/>
          <w:sz w:val="20"/>
        </w:rPr>
        <w:t>8.3. Hunt Query</w:t>
      </w:r>
    </w:p>
    <w:p>
      <w:pPr>
        <w:spacing w:after="80" w:before="0"/>
        <w:ind w:left="0"/>
        <w:jc w:val="left"/>
      </w:pPr>
      <w:r>
        <w:rPr>
          <w:rFonts w:ascii="Liberation Serif" w:hAnsi="Liberation Serif" w:eastAsia="Liberation Serif"/>
          <w:b w:val="0"/>
          <w:i w:val="0"/>
          <w:color w:val="000000"/>
          <w:sz w:val="20"/>
        </w:rPr>
        <w:t>9. Threat Hunting</w:t>
      </w:r>
    </w:p>
    <w:p>
      <w:pPr>
        <w:spacing w:after="80" w:before="0"/>
        <w:ind w:left="360"/>
        <w:jc w:val="left"/>
      </w:pPr>
      <w:r>
        <w:rPr>
          <w:rFonts w:ascii="Liberation Serif" w:hAnsi="Liberation Serif" w:eastAsia="Liberation Serif"/>
          <w:b w:val="0"/>
          <w:i w:val="0"/>
          <w:color w:val="000000"/>
          <w:sz w:val="20"/>
        </w:rPr>
        <w:t>9.1. Hunt Hypothesis</w:t>
      </w:r>
    </w:p>
    <w:p>
      <w:pPr>
        <w:spacing w:after="80" w:before="0"/>
        <w:ind w:left="360"/>
        <w:jc w:val="left"/>
      </w:pPr>
      <w:r>
        <w:rPr>
          <w:rFonts w:ascii="Liberation Serif" w:hAnsi="Liberation Serif" w:eastAsia="Liberation Serif"/>
          <w:b w:val="0"/>
          <w:i w:val="0"/>
          <w:color w:val="000000"/>
          <w:sz w:val="20"/>
        </w:rPr>
        <w:t>9.2. Hunt Query</w:t>
      </w:r>
    </w:p>
    <w:p>
      <w:pPr>
        <w:spacing w:after="80" w:before="0"/>
        <w:ind w:left="0"/>
        <w:jc w:val="left"/>
      </w:pPr>
      <w:r>
        <w:rPr>
          <w:rFonts w:ascii="Liberation Serif" w:hAnsi="Liberation Serif" w:eastAsia="Liberation Serif"/>
          <w:b w:val="0"/>
          <w:i w:val="0"/>
          <w:color w:val="000000"/>
          <w:sz w:val="20"/>
        </w:rPr>
        <w:t>10. Risk Assessment</w:t>
      </w:r>
    </w:p>
    <w:p>
      <w:pPr>
        <w:spacing w:after="80" w:before="0"/>
        <w:ind w:left="0"/>
        <w:jc w:val="left"/>
      </w:pPr>
      <w:r>
        <w:rPr>
          <w:rFonts w:ascii="Liberation Serif" w:hAnsi="Liberation Serif" w:eastAsia="Liberation Serif"/>
          <w:b w:val="0"/>
          <w:i w:val="0"/>
          <w:color w:val="000000"/>
          <w:sz w:val="20"/>
        </w:rPr>
        <w:t>11. Recommended Actions</w:t>
      </w:r>
    </w:p>
    <w:p>
      <w:pPr>
        <w:spacing w:after="80" w:before="0"/>
        <w:ind w:left="0"/>
        <w:jc w:val="left"/>
      </w:pPr>
      <w:r>
        <w:rPr>
          <w:rFonts w:ascii="Liberation Serif" w:hAnsi="Liberation Serif" w:eastAsia="Liberation Serif"/>
          <w:b w:val="0"/>
          <w:i w:val="0"/>
          <w:color w:val="000000"/>
          <w:sz w:val="20"/>
        </w:rPr>
        <w:t>12. References</w:t>
      </w:r>
    </w:p>
    <w:p>
      <w:pPr>
        <w:sectPr>
          <w:headerReference w:type="default" r:id="rId11"/>
          <w:footerReference w:type="default" r:id="rId12"/>
          <w:pgSz w:w="12240" w:h="15840"/>
          <w:pgMar w:top="1037" w:right="1037" w:bottom="1037" w:left="1037" w:header="720" w:footer="720" w:gutter="0"/>
          <w:cols w:space="720"/>
          <w:docGrid w:linePitch="360"/>
        </w:sectPr>
      </w:pPr>
    </w:p>
    <w:p>
      <w:pPr>
        <w:pStyle w:val="Heading1"/>
        <w:spacing w:after="160" w:before="120"/>
        <w:jc w:val="left"/>
      </w:pPr>
      <w:r>
        <w:rPr>
          <w:rFonts w:ascii="Liberation Serif" w:hAnsi="Liberation Serif" w:eastAsia="Liberation Serif"/>
          <w:b/>
          <w:i w:val="0"/>
          <w:color w:val="123D63"/>
          <w:sz w:val="32"/>
        </w:rPr>
        <w:t>Gunra Ransomware Fortinet Exploitation Advisory Daily Threat Update</w:t>
      </w:r>
    </w:p>
    <w:p>
      <w:pPr>
        <w:pStyle w:val="Heading2"/>
        <w:spacing w:after="120" w:before="120"/>
        <w:jc w:val="left"/>
      </w:pPr>
      <w:r>
        <w:rPr>
          <w:rFonts w:ascii="Liberation Serif" w:hAnsi="Liberation Serif" w:eastAsia="Liberation Serif"/>
          <w:b/>
          <w:i w:val="0"/>
          <w:color w:val="123D63"/>
          <w:sz w:val="26"/>
        </w:rPr>
        <w:t>1. Executive Summary</w:t>
      </w:r>
    </w:p>
    <w:p>
      <w:pPr>
        <w:spacing w:after="120" w:before="0"/>
        <w:jc w:val="left"/>
      </w:pPr>
      <w:r>
        <w:rPr>
          <w:rFonts w:ascii="Liberation Serif" w:hAnsi="Liberation Serif" w:eastAsia="Liberation Serif"/>
          <w:b w:val="0"/>
          <w:i w:val="0"/>
          <w:color w:val="000000"/>
          <w:sz w:val="20"/>
        </w:rPr>
        <w:t>Gunra Ransomware Fortinet Exploitation Advisory Daily Threat Update is selected for the 2026-08-29 daily intelligence run because current public reporting describes activity or sector exposure that defenders should review within the next operating cycle. The core issue is Gunra ransomware activity exploiting Fortinet FortiOS/FortiProxy flaws against critical infrastructure.</w:t>
      </w:r>
    </w:p>
    <w:p>
      <w:pPr>
        <w:spacing w:after="120" w:before="0"/>
        <w:jc w:val="left"/>
      </w:pPr>
      <w:r>
        <w:rPr>
          <w:rFonts w:ascii="Liberation Serif" w:hAnsi="Liberation Serif" w:eastAsia="Liberation Serif"/>
          <w:b w:val="0"/>
          <w:i w:val="0"/>
          <w:color w:val="000000"/>
          <w:sz w:val="20"/>
        </w:rPr>
        <w:t>The priority is not limited to direct victims named in media reporting. Organizations with similar technology, identity, supplier, managed-service, or aviation/aerospace dependencies should use this report to run targeted exposure checks and behavioral hunts.</w:t>
      </w:r>
    </w:p>
    <w:p>
      <w:pPr>
        <w:pStyle w:val="Heading2"/>
        <w:spacing w:after="120" w:before="120"/>
        <w:jc w:val="left"/>
      </w:pPr>
      <w:r>
        <w:rPr>
          <w:rFonts w:ascii="Liberation Serif" w:hAnsi="Liberation Serif" w:eastAsia="Liberation Serif"/>
          <w:b/>
          <w:i w:val="0"/>
          <w:color w:val="123D63"/>
          <w:sz w:val="26"/>
        </w:rPr>
        <w:t>2. Intelligence Requirements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Question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Current Answer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is the defender decision today?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Determine whether local technology, users, suppliers, or sector workflows match the reported exposure and run hunts.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Are hard IOCs available?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validated daily IOC set was available in this source bundle; detection is behavior/exposure oriented.</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Is attribution confirmed?</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This report avoids attribution beyond cited source language.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3. Source Review &amp; Confidence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Contribution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The Hacker News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Reports U.S./South Korean warning on Gunra exploiting Fortinet flaws.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SecurityWeek</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News roundup noting CISA StopRansomware focus on Gunra ransomware.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CISA StopRansomware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Authoritative advisory channel to monitor for Gunra defensive guidance.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Fortinet PSIRT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Vendor source for FortiOS/FortiProxy patch status.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4. Threat Activity Overview</w:t>
      </w:r>
    </w:p>
    <w:p>
      <w:pPr>
        <w:spacing w:after="120" w:before="0"/>
        <w:jc w:val="left"/>
      </w:pPr>
      <w:r>
        <w:rPr>
          <w:rFonts w:ascii="Liberation Serif" w:hAnsi="Liberation Serif" w:eastAsia="Liberation Serif"/>
          <w:b w:val="0"/>
          <w:i w:val="0"/>
          <w:color w:val="000000"/>
          <w:sz w:val="20"/>
        </w:rPr>
        <w:t>The reporting cluster centers on Gunra ransomware activity exploiting Fortinet FortiOS/FortiProxy flaws against critical infrastructure. Lost Boys Cyber treats this as a practical defensive issue: verify exposure, reduce reachable attack surface, and collect telemetry that confirms or disproves local compromise.</w:t>
      </w:r>
    </w:p>
    <w:p>
      <w:pPr>
        <w:pStyle w:val="Heading2"/>
        <w:spacing w:after="120" w:before="120"/>
        <w:jc w:val="left"/>
      </w:pPr>
      <w:r>
        <w:rPr>
          <w:rFonts w:ascii="Liberation Serif" w:hAnsi="Liberation Serif" w:eastAsia="Liberation Serif"/>
          <w:b/>
          <w:i w:val="0"/>
          <w:color w:val="123D63"/>
          <w:sz w:val="26"/>
        </w:rPr>
        <w:t>5. Affected Sectors and Exposure</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Exposure Pattern</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Operational Risk</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Critical infrastructure and edge-device-heavy networks; aviation operators using Fortinet edge devices should prioritize validation.</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High-priority environments should validate controls and third-party dependencies.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and privileged administration</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Valid-account abuse can bypass perimeter prevention and accelerate lateral movement.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Shared suppliers and service providers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Single-provider compromise can create multi-organization blast radius.</w:t>
            </w:r>
          </w:p>
        </w:tc>
      </w:tr>
    </w:tbl>
    <w:p>
      <w:pPr>
        <w:pStyle w:val="Heading2"/>
        <w:spacing w:after="120" w:before="120"/>
        <w:jc w:val="left"/>
      </w:pPr>
      <w:r>
        <w:rPr>
          <w:rFonts w:ascii="Liberation Serif" w:hAnsi="Liberation Serif" w:eastAsia="Liberation Serif"/>
          <w:b/>
          <w:i w:val="0"/>
          <w:color w:val="123D63"/>
          <w:sz w:val="26"/>
        </w:rPr>
        <w:t>6. Tactics, Techniques, and Procedures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Tactic / Phase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Observed Technique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Evidence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Initial Access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Exploit edge appliance vulnerabilities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Gunra reporting centers on Fortinet flaws.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Credential Access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Possible credential theft after appliance compromise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Edge device compromise commonly exposes VPN/admin credentials; validate locally.</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Ransomware/data extortion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Advisories frame the activity as ransomware risk.</w:t>
            </w:r>
          </w:p>
        </w:tc>
      </w:tr>
    </w:tbl>
    <w:p>
      <w:pPr>
        <w:pStyle w:val="Heading2"/>
        <w:spacing w:after="120" w:before="120"/>
        <w:jc w:val="left"/>
      </w:pPr>
      <w:r>
        <w:rPr>
          <w:rFonts w:ascii="Liberation Serif" w:hAnsi="Liberation Serif" w:eastAsia="Liberation Serif"/>
          <w:b/>
          <w:i w:val="0"/>
          <w:color w:val="123D63"/>
          <w:sz w:val="26"/>
        </w:rPr>
        <w:t>7. Infrastructure and Indicators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Indicator / Infrastructure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Type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Operational Use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hard IOCs in this daily bundle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Source limitation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Use behavioral hunts until validated IOCs are available.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Public-facing management, identity, developer, or sector-service endpoints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Exposure class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Prioritize asset inventory and logging.</w:t>
            </w:r>
          </w:p>
        </w:tc>
      </w:tr>
    </w:tbl>
    <w:p>
      <w:pPr>
        <w:pStyle w:val="Heading2"/>
        <w:spacing w:after="120" w:before="120"/>
        <w:jc w:val="left"/>
      </w:pPr>
      <w:r>
        <w:rPr>
          <w:rFonts w:ascii="Liberation Serif" w:hAnsi="Liberation Serif" w:eastAsia="Liberation Serif"/>
          <w:b/>
          <w:i w:val="0"/>
          <w:color w:val="123D63"/>
          <w:sz w:val="26"/>
        </w:rPr>
        <w:t>8. Detection Engineering</w:t>
      </w:r>
    </w:p>
    <w:p>
      <w:pPr>
        <w:pStyle w:val="Heading3"/>
        <w:spacing w:after="80" w:before="80"/>
        <w:jc w:val="left"/>
      </w:pPr>
      <w:r>
        <w:rPr>
          <w:rFonts w:ascii="Liberation Serif" w:hAnsi="Liberation Serif" w:eastAsia="Liberation Serif"/>
          <w:b/>
          <w:i w:val="0"/>
          <w:color w:val="000000"/>
          <w:sz w:val="22"/>
        </w:rPr>
        <w:t>8.1. Detection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Signal</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Telemetry 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Analytic Goal</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Suspicious administrative or scripting activity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DeviceProcessEvents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hands-on-keyboard or automated intrusion behavior.</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Unusual outbound connections from high-value services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DeviceNetworkEvents / proxy</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payload staging, exfiltration, or C2.</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changes and failed/successful login anomalies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SigninLogs / AuditLogs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 account takeover, help-desk abuse, or privilege escalation.</w:t>
            </w:r>
          </w:p>
        </w:tc>
      </w:tr>
    </w:tbl>
    <w:p>
      <w:pPr>
        <w:pStyle w:val="Heading3"/>
        <w:spacing w:after="80" w:before="80"/>
        <w:jc w:val="left"/>
      </w:pPr>
      <w:r>
        <w:rPr>
          <w:rFonts w:ascii="Liberation Serif" w:hAnsi="Liberation Serif" w:eastAsia="Liberation Serif"/>
          <w:b/>
          <w:i w:val="0"/>
          <w:color w:val="000000"/>
          <w:sz w:val="22"/>
        </w:rPr>
        <w:t>8.2. Sigma / Detection Content</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title: Gunra Ransomware Fortinet Exposure Daily Threat Behavior</w:t>
            </w:r>
          </w:p>
          <w:p>
            <w:pPr>
              <w:spacing w:before="0" w:after="0"/>
              <w:ind w:left="0"/>
            </w:pPr>
            <w:r/>
            <w:r>
              <w:rPr>
                <w:rFonts w:ascii="Liberation Mono" w:hAnsi="Liberation Mono" w:eastAsia="Liberation Mono"/>
                <w:color w:val="000000"/>
                <w:sz w:val="16"/>
              </w:rPr>
              <w:t>status: experimental</w:t>
            </w:r>
          </w:p>
          <w:p>
            <w:pPr>
              <w:spacing w:before="0" w:after="0"/>
              <w:ind w:left="0"/>
            </w:pPr>
            <w:r/>
            <w:r>
              <w:rPr>
                <w:rFonts w:ascii="Liberation Mono" w:hAnsi="Liberation Mono" w:eastAsia="Liberation Mono"/>
                <w:color w:val="000000"/>
                <w:sz w:val="16"/>
              </w:rPr>
              <w:t>description: Behavior-oriented analytic for Gunra ransomware activity exploiting Fortinet FortiOS/FortiProxy flaws against critical infrastructure.</w:t>
            </w:r>
          </w:p>
          <w:p>
            <w:pPr>
              <w:spacing w:before="0" w:after="0"/>
              <w:ind w:left="0"/>
            </w:pPr>
            <w:r/>
            <w:r>
              <w:rPr>
                <w:rFonts w:ascii="Liberation Mono" w:hAnsi="Liberation Mono" w:eastAsia="Liberation Mono"/>
                <w:color w:val="000000"/>
                <w:sz w:val="16"/>
              </w:rPr>
              <w:t>logsource:</w:t>
            </w:r>
          </w:p>
          <w:p>
            <w:pPr>
              <w:spacing w:before="0" w:after="0"/>
              <w:ind w:left="0"/>
            </w:pPr>
            <w:r/>
            <w:r>
              <w:rPr>
                <w:rFonts w:ascii="Liberation Mono" w:hAnsi="Liberation Mono" w:eastAsia="Liberation Mono"/>
                <w:color w:val="000000"/>
                <w:sz w:val="16"/>
              </w:rPr>
              <w:t xml:space="preserve">  product: windows</w:t>
            </w:r>
          </w:p>
          <w:p>
            <w:pPr>
              <w:spacing w:before="0" w:after="0"/>
              <w:ind w:left="0"/>
            </w:pPr>
            <w:r/>
            <w:r>
              <w:rPr>
                <w:rFonts w:ascii="Liberation Mono" w:hAnsi="Liberation Mono" w:eastAsia="Liberation Mono"/>
                <w:color w:val="000000"/>
                <w:sz w:val="16"/>
              </w:rPr>
              <w:t xml:space="preserve">  category: process_creation</w:t>
            </w:r>
          </w:p>
          <w:p>
            <w:pPr>
              <w:spacing w:before="0" w:after="0"/>
              <w:ind w:left="0"/>
            </w:pPr>
            <w:r/>
            <w:r>
              <w:rPr>
                <w:rFonts w:ascii="Liberation Mono" w:hAnsi="Liberation Mono" w:eastAsia="Liberation Mono"/>
                <w:color w:val="000000"/>
                <w:sz w:val="16"/>
              </w:rPr>
              <w:t>detection:</w:t>
            </w:r>
          </w:p>
          <w:p>
            <w:pPr>
              <w:spacing w:before="0" w:after="0"/>
              <w:ind w:left="0"/>
            </w:pPr>
            <w:r/>
            <w:r>
              <w:rPr>
                <w:rFonts w:ascii="Liberation Mono" w:hAnsi="Liberation Mono" w:eastAsia="Liberation Mono"/>
                <w:color w:val="000000"/>
                <w:sz w:val="16"/>
              </w:rPr>
              <w:t xml:space="preserve">  suspicious_tools:</w:t>
            </w:r>
          </w:p>
          <w:p>
            <w:pPr>
              <w:spacing w:before="0" w:after="0"/>
              <w:ind w:left="0"/>
            </w:pPr>
            <w:r/>
            <w:r>
              <w:rPr>
                <w:rFonts w:ascii="Liberation Mono" w:hAnsi="Liberation Mono" w:eastAsia="Liberation Mono"/>
                <w:color w:val="000000"/>
                <w:sz w:val="16"/>
              </w:rPr>
              <w:t xml:space="preserve">    Image|endswith:</w:t>
            </w:r>
          </w:p>
          <w:p>
            <w:pPr>
              <w:spacing w:before="0" w:after="0"/>
              <w:ind w:left="0"/>
            </w:pPr>
            <w:r/>
            <w:r>
              <w:rPr>
                <w:rFonts w:ascii="Liberation Mono" w:hAnsi="Liberation Mono" w:eastAsia="Liberation Mono"/>
                <w:color w:val="000000"/>
                <w:sz w:val="16"/>
              </w:rPr>
              <w:t xml:space="preserve">      - '\powershell.exe'</w:t>
            </w:r>
          </w:p>
          <w:p>
            <w:pPr>
              <w:spacing w:before="0" w:after="0"/>
              <w:ind w:left="0"/>
            </w:pPr>
            <w:r/>
            <w:r>
              <w:rPr>
                <w:rFonts w:ascii="Liberation Mono" w:hAnsi="Liberation Mono" w:eastAsia="Liberation Mono"/>
                <w:color w:val="000000"/>
                <w:sz w:val="16"/>
              </w:rPr>
              <w:t xml:space="preserve">      - '\cmd.exe'</w:t>
            </w:r>
          </w:p>
          <w:p>
            <w:pPr>
              <w:spacing w:before="0" w:after="0"/>
              <w:ind w:left="0"/>
            </w:pPr>
            <w:r/>
            <w:r>
              <w:rPr>
                <w:rFonts w:ascii="Liberation Mono" w:hAnsi="Liberation Mono" w:eastAsia="Liberation Mono"/>
                <w:color w:val="000000"/>
                <w:sz w:val="16"/>
              </w:rPr>
              <w:t xml:space="preserve">      - '\wscript.exe'</w:t>
            </w:r>
          </w:p>
          <w:p>
            <w:pPr>
              <w:spacing w:before="0" w:after="0"/>
              <w:ind w:left="0"/>
            </w:pPr>
            <w:r/>
            <w:r>
              <w:rPr>
                <w:rFonts w:ascii="Liberation Mono" w:hAnsi="Liberation Mono" w:eastAsia="Liberation Mono"/>
                <w:color w:val="000000"/>
                <w:sz w:val="16"/>
              </w:rPr>
              <w:t xml:space="preserve">      - '\cscript.exe'</w:t>
            </w:r>
          </w:p>
          <w:p>
            <w:pPr>
              <w:spacing w:before="0" w:after="0"/>
              <w:ind w:left="0"/>
            </w:pPr>
            <w:r/>
            <w:r>
              <w:rPr>
                <w:rFonts w:ascii="Liberation Mono" w:hAnsi="Liberation Mono" w:eastAsia="Liberation Mono"/>
                <w:color w:val="000000"/>
                <w:sz w:val="16"/>
              </w:rPr>
              <w:t xml:space="preserve">      - '\rclone.exe'</w:t>
            </w:r>
          </w:p>
          <w:p>
            <w:pPr>
              <w:spacing w:before="0" w:after="0"/>
              <w:ind w:left="0"/>
            </w:pPr>
            <w:r/>
            <w:r>
              <w:rPr>
                <w:rFonts w:ascii="Liberation Mono" w:hAnsi="Liberation Mono" w:eastAsia="Liberation Mono"/>
                <w:color w:val="000000"/>
                <w:sz w:val="16"/>
              </w:rPr>
              <w:t xml:space="preserve">  suspicious_args:</w:t>
            </w:r>
          </w:p>
          <w:p>
            <w:pPr>
              <w:spacing w:before="0" w:after="0"/>
              <w:ind w:left="0"/>
            </w:pPr>
            <w:r/>
            <w:r>
              <w:rPr>
                <w:rFonts w:ascii="Liberation Mono" w:hAnsi="Liberation Mono" w:eastAsia="Liberation Mono"/>
                <w:color w:val="000000"/>
                <w:sz w:val="16"/>
              </w:rPr>
              <w:t xml:space="preserve">    CommandLine|contains:</w:t>
            </w:r>
          </w:p>
          <w:p>
            <w:pPr>
              <w:spacing w:before="0" w:after="0"/>
              <w:ind w:left="0"/>
            </w:pPr>
            <w:r/>
            <w:r>
              <w:rPr>
                <w:rFonts w:ascii="Liberation Mono" w:hAnsi="Liberation Mono" w:eastAsia="Liberation Mono"/>
                <w:color w:val="000000"/>
                <w:sz w:val="16"/>
              </w:rPr>
              <w:t xml:space="preserve">      - 'vssadmin delete shadows'</w:t>
            </w:r>
          </w:p>
          <w:p>
            <w:pPr>
              <w:spacing w:before="0" w:after="0"/>
              <w:ind w:left="0"/>
            </w:pPr>
            <w:r/>
            <w:r>
              <w:rPr>
                <w:rFonts w:ascii="Liberation Mono" w:hAnsi="Liberation Mono" w:eastAsia="Liberation Mono"/>
                <w:color w:val="000000"/>
                <w:sz w:val="16"/>
              </w:rPr>
              <w:t xml:space="preserve">      - 'wevtutil cl'</w:t>
            </w:r>
          </w:p>
          <w:p>
            <w:pPr>
              <w:spacing w:before="0" w:after="0"/>
              <w:ind w:left="0"/>
            </w:pPr>
            <w:r/>
            <w:r>
              <w:rPr>
                <w:rFonts w:ascii="Liberation Mono" w:hAnsi="Liberation Mono" w:eastAsia="Liberation Mono"/>
                <w:color w:val="000000"/>
                <w:sz w:val="16"/>
              </w:rPr>
              <w:t xml:space="preserve">      - 'curl '</w:t>
            </w:r>
          </w:p>
          <w:p>
            <w:pPr>
              <w:spacing w:before="0" w:after="0"/>
              <w:ind w:left="0"/>
            </w:pPr>
            <w:r/>
            <w:r>
              <w:rPr>
                <w:rFonts w:ascii="Liberation Mono" w:hAnsi="Liberation Mono" w:eastAsia="Liberation Mono"/>
                <w:color w:val="000000"/>
                <w:sz w:val="16"/>
              </w:rPr>
              <w:t xml:space="preserve">      - 'wget '</w:t>
            </w:r>
          </w:p>
          <w:p>
            <w:pPr>
              <w:spacing w:before="0" w:after="0"/>
              <w:ind w:left="0"/>
            </w:pPr>
            <w:r/>
            <w:r>
              <w:rPr>
                <w:rFonts w:ascii="Liberation Mono" w:hAnsi="Liberation Mono" w:eastAsia="Liberation Mono"/>
                <w:color w:val="000000"/>
                <w:sz w:val="16"/>
              </w:rPr>
              <w:t xml:space="preserve">      - 'Invoke-WebRequest'</w:t>
            </w:r>
          </w:p>
          <w:p>
            <w:pPr>
              <w:spacing w:before="0" w:after="0"/>
              <w:ind w:left="0"/>
            </w:pPr>
            <w:r/>
            <w:r>
              <w:rPr>
                <w:rFonts w:ascii="Liberation Mono" w:hAnsi="Liberation Mono" w:eastAsia="Liberation Mono"/>
                <w:color w:val="000000"/>
                <w:sz w:val="16"/>
              </w:rPr>
              <w:t xml:space="preserve">  condition: suspicious_tools or suspicious_args</w:t>
            </w:r>
          </w:p>
          <w:p>
            <w:pPr>
              <w:spacing w:before="0" w:after="0"/>
              <w:ind w:left="0"/>
            </w:pPr>
            <w:r/>
            <w:r>
              <w:rPr>
                <w:rFonts w:ascii="Liberation Mono" w:hAnsi="Liberation Mono" w:eastAsia="Liberation Mono"/>
                <w:color w:val="000000"/>
                <w:sz w:val="16"/>
              </w:rPr>
              <w:t>level: high</w:t>
            </w:r>
          </w:p>
        </w:tc>
      </w:tr>
    </w:tbl>
    <w:p>
      <w:pPr>
        <w:pStyle w:val="Heading3"/>
        <w:spacing w:after="80" w:before="80"/>
        <w:jc w:val="left"/>
      </w:pPr>
      <w:r>
        <w:rPr>
          <w:rFonts w:ascii="Liberation Serif" w:hAnsi="Liberation Serif" w:eastAsia="Liberation Serif"/>
          <w:b/>
          <w:i w:val="0"/>
          <w:color w:val="000000"/>
          <w:sz w:val="22"/>
        </w:rPr>
        <w:t>8.3. Hunt Query</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CommonSecurityLog | where DeviceVendor has 'Fortinet' and Message has_any ('admin','login failed','ssl-vpn','exploit')</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project Timestamp, DeviceName, FileName, InitiatingProcessFileName, ProcessCommandLine</w:t>
            </w:r>
          </w:p>
        </w:tc>
      </w:tr>
    </w:tbl>
    <w:p>
      <w:pPr>
        <w:pStyle w:val="Heading2"/>
        <w:spacing w:after="120" w:before="120"/>
        <w:jc w:val="left"/>
      </w:pPr>
      <w:r>
        <w:rPr>
          <w:rFonts w:ascii="Liberation Serif" w:hAnsi="Liberation Serif" w:eastAsia="Liberation Serif"/>
          <w:b/>
          <w:i w:val="0"/>
          <w:color w:val="123D63"/>
          <w:sz w:val="26"/>
        </w:rPr>
        <w:t>9. Threat Hunting</w:t>
      </w:r>
    </w:p>
    <w:p>
      <w:pPr>
        <w:pStyle w:val="Heading3"/>
        <w:spacing w:after="80" w:before="80"/>
        <w:jc w:val="left"/>
      </w:pPr>
      <w:r>
        <w:rPr>
          <w:rFonts w:ascii="Liberation Serif" w:hAnsi="Liberation Serif" w:eastAsia="Liberation Serif"/>
          <w:b/>
          <w:i w:val="0"/>
          <w:color w:val="000000"/>
          <w:sz w:val="22"/>
        </w:rPr>
        <w:t>9.1. Hunt Hypothesis</w:t>
      </w:r>
    </w:p>
    <w:p>
      <w:pPr>
        <w:spacing w:after="120" w:before="0"/>
        <w:jc w:val="left"/>
      </w:pPr>
      <w:r>
        <w:rPr>
          <w:rFonts w:ascii="Liberation Serif" w:hAnsi="Liberation Serif" w:eastAsia="Liberation Serif"/>
          <w:b w:val="0"/>
          <w:i w:val="0"/>
          <w:color w:val="000000"/>
          <w:sz w:val="20"/>
        </w:rPr>
        <w:t>Local environments matching the reported exposure will show anomalous scripting, identity, remote-access, or data-movement activity before any formal incident declaration.</w:t>
      </w:r>
    </w:p>
    <w:p>
      <w:pPr>
        <w:pStyle w:val="Heading3"/>
        <w:spacing w:after="80" w:before="80"/>
        <w:jc w:val="left"/>
      </w:pPr>
      <w:r>
        <w:rPr>
          <w:rFonts w:ascii="Liberation Serif" w:hAnsi="Liberation Serif" w:eastAsia="Liberation Serif"/>
          <w:b/>
          <w:i w:val="0"/>
          <w:color w:val="000000"/>
          <w:sz w:val="22"/>
        </w:rPr>
        <w:t>9.2. Hunt Query</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DeviceNetworkEvents | where RemotePort in (443,8443) and RemoteUrl has_any ('fortigate','fortiproxy')</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summarize count(), min(Timestamp), max(Timestamp), make_set(RemoteUrl, 20) by DeviceName, InitiatingProcessFileName, InitiatingProcessAccountName</w:t>
            </w:r>
          </w:p>
          <w:p>
            <w:pPr>
              <w:spacing w:before="0" w:after="0"/>
              <w:ind w:left="0"/>
            </w:pPr>
            <w:r/>
            <w:r>
              <w:rPr>
                <w:rFonts w:ascii="Liberation Mono" w:hAnsi="Liberation Mono" w:eastAsia="Liberation Mono"/>
                <w:color w:val="000000"/>
                <w:sz w:val="16"/>
              </w:rPr>
              <w:t>| order by count_ desc</w:t>
            </w:r>
          </w:p>
        </w:tc>
      </w:tr>
    </w:tbl>
    <w:p>
      <w:pPr>
        <w:pStyle w:val="Heading2"/>
        <w:spacing w:after="120" w:before="120"/>
        <w:jc w:val="left"/>
      </w:pPr>
      <w:r>
        <w:rPr>
          <w:rFonts w:ascii="Liberation Serif" w:hAnsi="Liberation Serif" w:eastAsia="Liberation Serif"/>
          <w:b/>
          <w:i w:val="0"/>
          <w:color w:val="123D63"/>
          <w:sz w:val="26"/>
        </w:rPr>
        <w:t>10. Risk Assessment</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Risk Driver</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Likelihood</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Elevated where exposed technology or sector dependencies match the source reporting.</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Potential for ransomware, data theft, credential compromise, service disruption, or customer fraud depending on the topic.</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Confidence</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 based on publicly available reporting and no private telemetry in this run.</w:t>
            </w:r>
          </w:p>
        </w:tc>
      </w:tr>
    </w:tbl>
    <w:p>
      <w:pPr>
        <w:pStyle w:val="Heading2"/>
        <w:spacing w:after="120" w:before="120"/>
        <w:jc w:val="left"/>
      </w:pPr>
      <w:r>
        <w:rPr>
          <w:rFonts w:ascii="Liberation Serif" w:hAnsi="Liberation Serif" w:eastAsia="Liberation Serif"/>
          <w:b/>
          <w:i w:val="0"/>
          <w:color w:val="123D63"/>
          <w:sz w:val="26"/>
        </w:rPr>
        <w:t>11. Recommended Actions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Priority</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Owner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Action</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Critical</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Asset / Platform</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Confirm whether the reported technology, service provider, or workflow exists locally.</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SOC</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Execute the embedded KQL hunts and retain evidence.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MFA, privileged access, help-desk reset paths, and third-party admin accounts.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Vendor Management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Ask suppliers for patch, breach, and monitoring attestations where relevant.</w:t>
            </w:r>
          </w:p>
        </w:tc>
      </w:tr>
    </w:tbl>
    <w:p>
      <w:pPr>
        <w:pStyle w:val="Heading2"/>
        <w:spacing w:after="120" w:before="120"/>
        <w:jc w:val="left"/>
      </w:pPr>
      <w:r>
        <w:rPr>
          <w:rFonts w:ascii="Liberation Serif" w:hAnsi="Liberation Serif" w:eastAsia="Liberation Serif"/>
          <w:b/>
          <w:i w:val="0"/>
          <w:color w:val="123D63"/>
          <w:sz w:val="26"/>
        </w:rPr>
        <w:t>12. References</w:t>
      </w:r>
    </w:p>
    <w:p>
      <w:pPr>
        <w:pStyle w:val="ListBullet"/>
        <w:spacing w:after="40" w:before="0"/>
        <w:jc w:val="left"/>
      </w:pPr>
      <w:r>
        <w:rPr>
          <w:rFonts w:ascii="Liberation Serif" w:hAnsi="Liberation Serif" w:eastAsia="Liberation Serif"/>
          <w:b w:val="0"/>
          <w:i w:val="0"/>
          <w:color w:val="000000"/>
          <w:sz w:val="20"/>
        </w:rPr>
        <w:t>[The Hacker News](https://thehackernews.com/2026/08/gunra-ransomware-exploits-fortinet-and.html) — Reports U.S./South Korean warning on Gunra exploiting Fortinet flaws.</w:t>
      </w:r>
    </w:p>
    <w:p>
      <w:pPr>
        <w:pStyle w:val="ListBullet"/>
        <w:spacing w:after="40" w:before="0"/>
        <w:jc w:val="left"/>
      </w:pPr>
      <w:r>
        <w:rPr>
          <w:rFonts w:ascii="Liberation Serif" w:hAnsi="Liberation Serif" w:eastAsia="Liberation Serif"/>
          <w:b w:val="0"/>
          <w:i w:val="0"/>
          <w:color w:val="000000"/>
          <w:sz w:val="20"/>
        </w:rPr>
        <w:t>[SecurityWeek](https://www.securityweek.com/) — News roundup noting CISA StopRansomware focus on Gunra ransomware.</w:t>
      </w:r>
    </w:p>
    <w:p>
      <w:pPr>
        <w:pStyle w:val="ListBullet"/>
        <w:spacing w:after="40" w:before="0"/>
        <w:jc w:val="left"/>
      </w:pPr>
      <w:r>
        <w:rPr>
          <w:rFonts w:ascii="Liberation Serif" w:hAnsi="Liberation Serif" w:eastAsia="Liberation Serif"/>
          <w:b w:val="0"/>
          <w:i w:val="0"/>
          <w:color w:val="000000"/>
          <w:sz w:val="20"/>
        </w:rPr>
        <w:t>[CISA StopRansomware](https://www.cisa.gov/stopransomware) — Authoritative advisory channel to monitor for Gunra defensive guidance.</w:t>
      </w:r>
    </w:p>
    <w:p>
      <w:pPr>
        <w:pStyle w:val="ListBullet"/>
        <w:spacing w:after="40" w:before="0"/>
        <w:jc w:val="left"/>
      </w:pPr>
      <w:r>
        <w:rPr>
          <w:rFonts w:ascii="Liberation Serif" w:hAnsi="Liberation Serif" w:eastAsia="Liberation Serif"/>
          <w:b w:val="0"/>
          <w:i w:val="0"/>
          <w:color w:val="000000"/>
          <w:sz w:val="20"/>
        </w:rPr>
        <w:t>[Fortinet PSIRT](https://www.fortiguard.com/psirt) — Vendor source for FortiOS/FortiProxy patch status.</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r>
    <w:r>
      <w:rPr>
        <w:rFonts w:ascii="Liberation Serif" w:hAnsi="Liberation Serif" w:eastAsia="Liberation Seri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Liberation Serif" w:hAnsi="Liberation Serif" w:eastAsia="Liberation Serif"/>
        <w:color w:val="123D63"/>
        <w:sz w:val="18"/>
      </w:rPr>
      <w:t>TLP:CLEAR | Lost Boys Cyber | Gunra Ransomware Fortinet Exposure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