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jc w:val="center"/>
      </w:pPr>
      <w:r>
        <w:drawing>
          <wp:inline xmlns:a="http://schemas.openxmlformats.org/drawingml/2006/main" xmlns:pic="http://schemas.openxmlformats.org/drawingml/2006/picture">
            <wp:extent cx="4480560" cy="1458071"/>
            <wp:docPr id="1" name="Picture 1"/>
            <wp:cNvGraphicFramePr>
              <a:graphicFrameLocks noChangeAspect="1"/>
            </wp:cNvGraphicFramePr>
            <a:graphic>
              <a:graphicData uri="http://schemas.openxmlformats.org/drawingml/2006/picture">
                <pic:pic>
                  <pic:nvPicPr>
                    <pic:cNvPr id="0" name="lost-boys-cyber-logo-titlepage.png"/>
                    <pic:cNvPicPr/>
                  </pic:nvPicPr>
                  <pic:blipFill>
                    <a:blip r:embed="rId9"/>
                    <a:stretch>
                      <a:fillRect/>
                    </a:stretch>
                  </pic:blipFill>
                  <pic:spPr>
                    <a:xfrm>
                      <a:off x="0" y="0"/>
                      <a:ext cx="4480560" cy="1458071"/>
                    </a:xfrm>
                    <a:prstGeom prst="rect"/>
                  </pic:spPr>
                </pic:pic>
              </a:graphicData>
            </a:graphic>
          </wp:inline>
        </w:drawing>
      </w:r>
    </w:p>
    <w:p>
      <w:pPr>
        <w:spacing w:after="2600"/>
      </w:pPr>
    </w:p>
    <w:p>
      <w:pPr>
        <w:spacing w:after="120" w:before="0"/>
        <w:jc w:val="left"/>
      </w:pPr>
      <w:r>
        <w:rPr>
          <w:rFonts w:ascii="Liberation Serif" w:hAnsi="Liberation Serif" w:eastAsia="Liberation Serif"/>
          <w:b/>
          <w:i w:val="0"/>
          <w:color w:val="123D63"/>
          <w:sz w:val="32"/>
        </w:rPr>
        <w:t>Airport Common-Use Passenger Processing and Third-Party Platform Cyber Risk Daily Update - 2026-09-25</w:t>
      </w:r>
    </w:p>
    <w:p>
      <w:pPr>
        <w:spacing w:after="200" w:before="0"/>
        <w:jc w:val="left"/>
      </w:pPr>
      <w:r>
        <w:rPr>
          <w:rFonts w:ascii="Liberation Serif" w:hAnsi="Liberation Serif" w:eastAsia="Liberation Serif"/>
          <w:b w:val="0"/>
          <w:i w:val="0"/>
          <w:color w:val="000000"/>
          <w:sz w:val="20"/>
        </w:rPr>
        <w:t>Threat Report</w:t>
      </w:r>
    </w:p>
    <w:tbl>
      <w:tblPr>
        <w:tblW w:type="auto" w:w="0"/>
        <w:jc w:val="left"/>
        <w:tblLayout w:type="fixed"/>
        <w:tblLook w:firstColumn="1" w:firstRow="1" w:lastColumn="0" w:lastRow="0" w:noHBand="0" w:noVBand="1" w:val="04A0"/>
      </w:tblPr>
      <w:tblGrid>
        <w:gridCol w:w="5083"/>
        <w:gridCol w:w="5083"/>
      </w:tblGrid>
      <w:tr>
        <w:tc>
          <w:tcPr>
            <w:tcW w:type="dxa" w:w="2232"/>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color w:val="123D63"/>
                <w:sz w:val="20"/>
              </w:rPr>
              <w:t>Classification</w:t>
            </w:r>
          </w:p>
        </w:tc>
        <w:tc>
          <w:tcPr>
            <w:tcW w:type="dxa" w:w="7128"/>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20"/>
              </w:rPr>
              <w:t>TLP:CLEAR</w:t>
            </w:r>
          </w:p>
        </w:tc>
      </w:tr>
      <w:tr>
        <w:tc>
          <w:tcPr>
            <w:tcW w:type="dxa" w:w="2232"/>
            <w:vAlign w:val="center"/>
            <w:shd w:fill="F3F6F8"/>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color w:val="123D63"/>
                <w:sz w:val="20"/>
              </w:rPr>
              <w:t>Published</w:t>
            </w:r>
          </w:p>
        </w:tc>
        <w:tc>
          <w:tcPr>
            <w:tcW w:type="dxa" w:w="7128"/>
            <w:vAlign w:val="center"/>
            <w:shd w:fill="F3F6F8"/>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20"/>
              </w:rPr>
              <w:t>2026-09-25</w:t>
            </w:r>
          </w:p>
        </w:tc>
      </w:tr>
      <w:tr>
        <w:tc>
          <w:tcPr>
            <w:tcW w:type="dxa" w:w="2232"/>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color w:val="123D63"/>
                <w:sz w:val="20"/>
              </w:rPr>
              <w:t>Version</w:t>
            </w:r>
          </w:p>
        </w:tc>
        <w:tc>
          <w:tcPr>
            <w:tcW w:type="dxa" w:w="7128"/>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20"/>
              </w:rPr>
              <w:t>1.0</w:t>
            </w:r>
          </w:p>
        </w:tc>
      </w:tr>
      <w:tr>
        <w:tc>
          <w:tcPr>
            <w:tcW w:type="dxa" w:w="2232"/>
            <w:vAlign w:val="center"/>
            <w:shd w:fill="F3F6F8"/>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color w:val="123D63"/>
                <w:sz w:val="20"/>
              </w:rPr>
              <w:t>Author</w:t>
            </w:r>
          </w:p>
        </w:tc>
        <w:tc>
          <w:tcPr>
            <w:tcW w:type="dxa" w:w="7128"/>
            <w:vAlign w:val="center"/>
            <w:shd w:fill="F3F6F8"/>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20"/>
              </w:rPr>
              <w:t>Lost Boys Cyber</w:t>
            </w:r>
          </w:p>
        </w:tc>
      </w:tr>
      <w:tr>
        <w:tc>
          <w:tcPr>
            <w:tcW w:type="dxa" w:w="2232"/>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color w:val="123D63"/>
                <w:sz w:val="20"/>
              </w:rPr>
              <w:t>Report Type</w:t>
            </w:r>
          </w:p>
        </w:tc>
        <w:tc>
          <w:tcPr>
            <w:tcW w:type="dxa" w:w="7128"/>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20"/>
              </w:rPr>
              <w:t>Threat Report</w:t>
            </w:r>
          </w:p>
        </w:tc>
      </w:tr>
    </w:tbl>
    <w:p/>
    <w:p>
      <w:pPr>
        <w:spacing w:after="40" w:before="0"/>
        <w:jc w:val="left"/>
      </w:pPr>
      <w:r>
        <w:rPr>
          <w:rFonts w:ascii="Liberation Serif" w:hAnsi="Liberation Serif" w:eastAsia="Liberation Serif"/>
          <w:b w:val="0"/>
          <w:i w:val="0"/>
          <w:color w:val="123D63"/>
          <w:sz w:val="18"/>
        </w:rPr>
        <w:t>TLP:CLEAR | Lost Boys Cyber | Airport Common-Use Passenger Processing and Third-Party Platform Cyber Risk Daily Update - 2026-09-25 - Threat Report</w:t>
      </w:r>
    </w:p>
    <w:p>
      <w:pPr>
        <w:spacing w:after="200" w:before="0"/>
        <w:jc w:val="left"/>
      </w:pPr>
      <w:r>
        <w:rPr>
          <w:rFonts w:ascii="Liberation Serif" w:hAnsi="Liberation Serif" w:eastAsia="Liberation Serif"/>
          <w:b w:val="0"/>
          <w:i w:val="0"/>
          <w:color w:val="000000"/>
          <w:sz w:val="18"/>
        </w:rPr>
        <w:t>Published: 2026-09-25 | TLP:CLEAR | Version: 1.0 | Author: Lost Boys Cyber</w:t>
      </w:r>
    </w:p>
    <w:tbl>
      <w:tblPr>
        <w:tblW w:type="auto" w:w="0"/>
        <w:jc w:val="left"/>
        <w:tblLayout w:type="fixed"/>
        <w:tblLook w:firstColumn="1" w:firstRow="1" w:lastColumn="0" w:lastRow="0" w:noHBand="0" w:noVBand="1" w:val="04A0"/>
      </w:tblPr>
      <w:tblGrid>
        <w:gridCol w:w="10166"/>
      </w:tblGrid>
      <w:tr>
        <w:tc>
          <w:tcPr>
            <w:tcW w:type="dxa" w:w="10166"/>
            <w:vAlign w:val="center"/>
            <w:shd w:fill="EAF4FB"/>
            <w:tcBorders>
              <w:top w:val="single" w:sz="8" w:color="75A9CF"/>
              <w:left w:val="single" w:sz="8" w:color="75A9CF"/>
              <w:bottom w:val="single" w:sz="8" w:color="75A9CF"/>
              <w:right w:val="single" w:sz="8" w:color="75A9CF"/>
            </w:tcBorders>
          </w:tcPr>
          <w:p>
            <w:pPr>
              <w:jc w:val="left"/>
            </w:pPr>
            <w:r/>
            <w:r>
              <w:rPr>
                <w:rFonts w:ascii="Liberation Serif" w:hAnsi="Liberation Serif" w:eastAsia="Liberation Serif"/>
                <w:b w:val="0"/>
                <w:color w:val="000000"/>
                <w:sz w:val="18"/>
              </w:rPr>
              <w:t>AI Generation: This report was generated with AI assistance and is provided for informational purposes only. All findings, IOCs, detection rules, hunting queries, attribution assessments, and recommendations must be independently reviewed and validated by a qualified security professional before operational use.</w:t>
            </w:r>
          </w:p>
        </w:tc>
      </w:tr>
    </w:tbl>
    <w:p>
      <w:r>
        <w:br w:type="page"/>
      </w:r>
    </w:p>
    <w:p>
      <w:pPr>
        <w:sectPr>
          <w:footerReference w:type="default" r:id="rId10"/>
          <w:pgSz w:w="12240" w:h="15840"/>
          <w:pgMar w:top="1037" w:right="1037" w:bottom="1037" w:left="1037" w:header="720" w:footer="720" w:gutter="0"/>
          <w:cols w:space="720"/>
          <w:docGrid w:linePitch="360"/>
        </w:sectPr>
      </w:pPr>
    </w:p>
    <w:p>
      <w:pPr>
        <w:spacing w:after="240" w:before="0"/>
        <w:jc w:val="left"/>
      </w:pPr>
      <w:r>
        <w:rPr>
          <w:rFonts w:ascii="Liberation Serif" w:hAnsi="Liberation Serif" w:eastAsia="Liberation Serif"/>
          <w:b/>
          <w:i w:val="0"/>
          <w:color w:val="123D63"/>
          <w:sz w:val="28"/>
        </w:rPr>
        <w:t>Table of Contents</w:t>
      </w:r>
    </w:p>
    <w:p>
      <w:pPr>
        <w:spacing w:after="80" w:before="0"/>
        <w:ind w:left="0"/>
        <w:jc w:val="left"/>
      </w:pPr>
      <w:r>
        <w:rPr>
          <w:rFonts w:ascii="Liberation Serif" w:hAnsi="Liberation Serif" w:eastAsia="Liberation Serif"/>
          <w:b w:val="0"/>
          <w:i w:val="0"/>
          <w:color w:val="000000"/>
          <w:sz w:val="20"/>
        </w:rPr>
        <w:t>1. Executive Summary</w:t>
      </w:r>
    </w:p>
    <w:p>
      <w:pPr>
        <w:spacing w:after="80" w:before="0"/>
        <w:ind w:left="0"/>
        <w:jc w:val="left"/>
      </w:pPr>
      <w:r>
        <w:rPr>
          <w:rFonts w:ascii="Liberation Serif" w:hAnsi="Liberation Serif" w:eastAsia="Liberation Serif"/>
          <w:b w:val="0"/>
          <w:i w:val="0"/>
          <w:color w:val="000000"/>
          <w:sz w:val="20"/>
        </w:rPr>
        <w:t>2. Intelligence Requirements</w:t>
      </w:r>
    </w:p>
    <w:p>
      <w:pPr>
        <w:spacing w:after="80" w:before="0"/>
        <w:ind w:left="0"/>
        <w:jc w:val="left"/>
      </w:pPr>
      <w:r>
        <w:rPr>
          <w:rFonts w:ascii="Liberation Serif" w:hAnsi="Liberation Serif" w:eastAsia="Liberation Serif"/>
          <w:b w:val="0"/>
          <w:i w:val="0"/>
          <w:color w:val="000000"/>
          <w:sz w:val="20"/>
        </w:rPr>
        <w:t>3. Source Review &amp; Confidence</w:t>
      </w:r>
    </w:p>
    <w:p>
      <w:pPr>
        <w:spacing w:after="80" w:before="0"/>
        <w:ind w:left="0"/>
        <w:jc w:val="left"/>
      </w:pPr>
      <w:r>
        <w:rPr>
          <w:rFonts w:ascii="Liberation Serif" w:hAnsi="Liberation Serif" w:eastAsia="Liberation Serif"/>
          <w:b w:val="0"/>
          <w:i w:val="0"/>
          <w:color w:val="000000"/>
          <w:sz w:val="20"/>
        </w:rPr>
        <w:t>4. Threat Actor / Campaign Overview</w:t>
      </w:r>
    </w:p>
    <w:p>
      <w:pPr>
        <w:spacing w:after="80" w:before="0"/>
        <w:ind w:left="0"/>
        <w:jc w:val="left"/>
      </w:pPr>
      <w:r>
        <w:rPr>
          <w:rFonts w:ascii="Liberation Serif" w:hAnsi="Liberation Serif" w:eastAsia="Liberation Serif"/>
          <w:b w:val="0"/>
          <w:i w:val="0"/>
          <w:color w:val="000000"/>
          <w:sz w:val="20"/>
        </w:rPr>
        <w:t>5. Tactics, Techniques, and Procedures</w:t>
      </w:r>
    </w:p>
    <w:p>
      <w:pPr>
        <w:spacing w:after="80" w:before="0"/>
        <w:ind w:left="0"/>
        <w:jc w:val="left"/>
      </w:pPr>
      <w:r>
        <w:rPr>
          <w:rFonts w:ascii="Liberation Serif" w:hAnsi="Liberation Serif" w:eastAsia="Liberation Serif"/>
          <w:b w:val="0"/>
          <w:i w:val="0"/>
          <w:color w:val="000000"/>
          <w:sz w:val="20"/>
        </w:rPr>
        <w:t>6. Infrastructure and Indicators</w:t>
      </w:r>
    </w:p>
    <w:p>
      <w:pPr>
        <w:spacing w:after="80" w:before="0"/>
        <w:ind w:left="0"/>
        <w:jc w:val="left"/>
      </w:pPr>
      <w:r>
        <w:rPr>
          <w:rFonts w:ascii="Liberation Serif" w:hAnsi="Liberation Serif" w:eastAsia="Liberation Serif"/>
          <w:b w:val="0"/>
          <w:i w:val="0"/>
          <w:color w:val="000000"/>
          <w:sz w:val="20"/>
        </w:rPr>
        <w:t>7. Victimology and Targeting</w:t>
      </w:r>
    </w:p>
    <w:p>
      <w:pPr>
        <w:spacing w:after="80" w:before="0"/>
        <w:ind w:left="0"/>
        <w:jc w:val="left"/>
      </w:pPr>
      <w:r>
        <w:rPr>
          <w:rFonts w:ascii="Liberation Serif" w:hAnsi="Liberation Serif" w:eastAsia="Liberation Serif"/>
          <w:b w:val="0"/>
          <w:i w:val="0"/>
          <w:color w:val="000000"/>
          <w:sz w:val="20"/>
        </w:rPr>
        <w:t>8. Aviation and Aerospace Sector Impact</w:t>
      </w:r>
    </w:p>
    <w:p>
      <w:pPr>
        <w:spacing w:after="80" w:before="0"/>
        <w:ind w:left="0"/>
        <w:jc w:val="left"/>
      </w:pPr>
      <w:r>
        <w:rPr>
          <w:rFonts w:ascii="Liberation Serif" w:hAnsi="Liberation Serif" w:eastAsia="Liberation Serif"/>
          <w:b w:val="0"/>
          <w:i w:val="0"/>
          <w:color w:val="000000"/>
          <w:sz w:val="20"/>
        </w:rPr>
        <w:t>9. Detection Engineering</w:t>
      </w:r>
    </w:p>
    <w:p>
      <w:pPr>
        <w:spacing w:after="80" w:before="0"/>
        <w:ind w:left="360"/>
        <w:jc w:val="left"/>
      </w:pPr>
      <w:r>
        <w:rPr>
          <w:rFonts w:ascii="Liberation Serif" w:hAnsi="Liberation Serif" w:eastAsia="Liberation Serif"/>
          <w:b w:val="0"/>
          <w:i w:val="0"/>
          <w:color w:val="000000"/>
          <w:sz w:val="20"/>
        </w:rPr>
        <w:t>9.1. Detection Logic Summary</w:t>
      </w:r>
    </w:p>
    <w:p>
      <w:pPr>
        <w:spacing w:after="80" w:before="0"/>
        <w:ind w:left="0"/>
        <w:jc w:val="left"/>
      </w:pPr>
      <w:r>
        <w:rPr>
          <w:rFonts w:ascii="Liberation Serif" w:hAnsi="Liberation Serif" w:eastAsia="Liberation Serif"/>
          <w:b w:val="0"/>
          <w:i w:val="0"/>
          <w:color w:val="000000"/>
          <w:sz w:val="20"/>
        </w:rPr>
        <w:t>10. Threat Hunting</w:t>
      </w:r>
    </w:p>
    <w:p>
      <w:pPr>
        <w:spacing w:after="80" w:before="0"/>
        <w:ind w:left="360"/>
        <w:jc w:val="left"/>
      </w:pPr>
      <w:r>
        <w:rPr>
          <w:rFonts w:ascii="Liberation Serif" w:hAnsi="Liberation Serif" w:eastAsia="Liberation Serif"/>
          <w:b w:val="0"/>
          <w:i w:val="0"/>
          <w:color w:val="000000"/>
          <w:sz w:val="20"/>
        </w:rPr>
        <w:t>10.1. Hunt Hypotheses</w:t>
      </w:r>
    </w:p>
    <w:p>
      <w:pPr>
        <w:spacing w:after="80" w:before="0"/>
        <w:ind w:left="0"/>
        <w:jc w:val="left"/>
      </w:pPr>
      <w:r>
        <w:rPr>
          <w:rFonts w:ascii="Liberation Serif" w:hAnsi="Liberation Serif" w:eastAsia="Liberation Serif"/>
          <w:b w:val="0"/>
          <w:i w:val="0"/>
          <w:color w:val="000000"/>
          <w:sz w:val="20"/>
        </w:rPr>
        <w:t>11. Risk Assessment</w:t>
      </w:r>
    </w:p>
    <w:p>
      <w:pPr>
        <w:spacing w:after="80" w:before="0"/>
        <w:ind w:left="0"/>
        <w:jc w:val="left"/>
      </w:pPr>
      <w:r>
        <w:rPr>
          <w:rFonts w:ascii="Liberation Serif" w:hAnsi="Liberation Serif" w:eastAsia="Liberation Serif"/>
          <w:b w:val="0"/>
          <w:i w:val="0"/>
          <w:color w:val="000000"/>
          <w:sz w:val="20"/>
        </w:rPr>
        <w:t>12. Recommended Actions</w:t>
      </w:r>
    </w:p>
    <w:p>
      <w:pPr>
        <w:spacing w:after="80" w:before="0"/>
        <w:ind w:left="0"/>
        <w:jc w:val="left"/>
      </w:pPr>
      <w:r>
        <w:rPr>
          <w:rFonts w:ascii="Liberation Serif" w:hAnsi="Liberation Serif" w:eastAsia="Liberation Serif"/>
          <w:b w:val="0"/>
          <w:i w:val="0"/>
          <w:color w:val="000000"/>
          <w:sz w:val="20"/>
        </w:rPr>
        <w:t>13. References</w:t>
      </w:r>
    </w:p>
    <w:p>
      <w:pPr>
        <w:sectPr>
          <w:headerReference w:type="default" r:id="rId11"/>
          <w:footerReference w:type="default" r:id="rId12"/>
          <w:pgSz w:w="12240" w:h="15840"/>
          <w:pgMar w:top="1037" w:right="1037" w:bottom="1037" w:left="1037" w:header="720" w:footer="720" w:gutter="0"/>
          <w:cols w:space="720"/>
          <w:docGrid w:linePitch="360"/>
        </w:sectPr>
      </w:pPr>
    </w:p>
    <w:p>
      <w:pPr>
        <w:pStyle w:val="Heading1"/>
        <w:spacing w:after="160" w:before="120"/>
        <w:jc w:val="left"/>
      </w:pPr>
      <w:r>
        <w:rPr>
          <w:rFonts w:ascii="Liberation Serif" w:hAnsi="Liberation Serif" w:eastAsia="Liberation Serif"/>
          <w:b/>
          <w:i w:val="0"/>
          <w:color w:val="123D63"/>
          <w:sz w:val="32"/>
        </w:rPr>
        <w:t>Airport Common-Use Passenger Processing and Third-Party Platform Cyber Risk Daily Update - 2026-09-25</w:t>
      </w:r>
    </w:p>
    <w:p>
      <w:pPr>
        <w:spacing w:after="120" w:before="0"/>
        <w:jc w:val="left"/>
      </w:pPr>
      <w:r>
        <w:rPr>
          <w:rFonts w:ascii="Liberation Serif" w:hAnsi="Liberation Serif" w:eastAsia="Liberation Serif"/>
          <w:b w:val="0"/>
          <w:i w:val="0"/>
          <w:color w:val="000000"/>
          <w:sz w:val="20"/>
        </w:rPr>
        <w:t>&gt; Daily automation refresh: This 2026-09-25 UTC report turns current intelligence coverage into a finished Lost Boys Cyber report with source-backed analysis, structured tables, detections, and hunt content.</w:t>
      </w:r>
    </w:p>
    <w:p>
      <w:pPr>
        <w:spacing w:after="120" w:before="0"/>
        <w:jc w:val="left"/>
      </w:pPr>
      <w:r>
        <w:rPr>
          <w:rFonts w:ascii="Liberation Serif" w:hAnsi="Liberation Serif" w:eastAsia="Liberation Serif"/>
          <w:b w:val="0"/>
          <w:i w:val="0"/>
          <w:color w:val="000000"/>
          <w:sz w:val="20"/>
        </w:rPr>
        <w:t>&gt; Current-day production note: This report preserves the active priority topic from the prior daily cycle because it remains operationally relevant on 2026-09-25 UTC; the bundle was assigned a new report ID, rebuilt, republished, and uploaded as a current-day artifact rather than reusing stale output.</w:t>
      </w:r>
    </w:p>
    <w:p>
      <w:pPr>
        <w:pStyle w:val="Heading2"/>
        <w:spacing w:after="120" w:before="120"/>
        <w:jc w:val="left"/>
      </w:pPr>
      <w:r>
        <w:rPr>
          <w:rFonts w:ascii="Liberation Serif" w:hAnsi="Liberation Serif" w:eastAsia="Liberation Serif"/>
          <w:b/>
          <w:i w:val="0"/>
          <w:color w:val="123D63"/>
          <w:sz w:val="26"/>
        </w:rPr>
        <w:t>1. Executive Summary</w:t>
      </w:r>
    </w:p>
    <w:p>
      <w:pPr>
        <w:spacing w:after="120" w:before="0"/>
        <w:jc w:val="left"/>
      </w:pPr>
      <w:r>
        <w:rPr>
          <w:rFonts w:ascii="Liberation Serif" w:hAnsi="Liberation Serif" w:eastAsia="Liberation Serif"/>
          <w:b w:val="0"/>
          <w:i w:val="0"/>
          <w:color w:val="000000"/>
          <w:sz w:val="20"/>
        </w:rPr>
        <w:t>Recent reporting around common-use passenger processing outages underscores airport dependence on shared check-in, bag-drop, kiosk, and boarding systems. The key exposure is third-party platform concentration: one provider incident can create multi-airport operational disruption.</w:t>
      </w:r>
    </w:p>
    <w:p>
      <w:pPr>
        <w:pStyle w:val="Heading2"/>
        <w:spacing w:after="120" w:before="120"/>
        <w:jc w:val="left"/>
      </w:pPr>
      <w:r>
        <w:rPr>
          <w:rFonts w:ascii="Liberation Serif" w:hAnsi="Liberation Serif" w:eastAsia="Liberation Serif"/>
          <w:b/>
          <w:i w:val="0"/>
          <w:color w:val="123D63"/>
          <w:sz w:val="26"/>
        </w:rPr>
        <w:t>2. Intelligence Requirements</w:t>
      </w:r>
    </w:p>
    <w:tbl>
      <w:tblPr>
        <w:tblW w:type="auto" w:w="0"/>
        <w:jc w:val="left"/>
        <w:tblLayout w:type="autofit"/>
        <w:tblLook w:firstColumn="1" w:firstRow="1" w:lastColumn="0" w:lastRow="0" w:noHBand="0" w:noVBand="1" w:val="04A0"/>
      </w:tblPr>
      <w:tblGrid>
        <w:gridCol w:w="5083"/>
        <w:gridCol w:w="5083"/>
      </w:tblGrid>
      <w:tr>
        <w:tc>
          <w:tcPr>
            <w:tcW w:type="dxa" w:w="5083"/>
            <w:vAlign w:val="center"/>
            <w:shd w:fill="EAF4FB"/>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color w:val="123D63"/>
                <w:sz w:val="18"/>
              </w:rPr>
              <w:t>Requirement</w:t>
            </w:r>
          </w:p>
        </w:tc>
        <w:tc>
          <w:tcPr>
            <w:tcW w:type="dxa" w:w="5083"/>
            <w:vAlign w:val="center"/>
            <w:shd w:fill="EAF4FB"/>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color w:val="123D63"/>
                <w:sz w:val="18"/>
              </w:rPr>
              <w:t>Answered By This Report</w:t>
            </w:r>
          </w:p>
        </w:tc>
      </w:tr>
      <w:tr>
        <w:tc>
          <w:tcPr>
            <w:tcW w:type="dxa" w:w="5083"/>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What happened or changed?</w:t>
            </w:r>
          </w:p>
        </w:tc>
        <w:tc>
          <w:tcPr>
            <w:tcW w:type="dxa" w:w="5083"/>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Current public reporting identifies Airports, airlines, ground handling, common-use systems as a defender priority.</w:t>
            </w:r>
          </w:p>
        </w:tc>
      </w:tr>
      <w:tr>
        <w:tc>
          <w:tcPr>
            <w:tcW w:type="dxa" w:w="5083"/>
            <w:vAlign w:val="center"/>
            <w:shd w:fill="F3F6F8"/>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Who is exposed?</w:t>
            </w:r>
          </w:p>
        </w:tc>
        <w:tc>
          <w:tcPr>
            <w:tcW w:type="dxa" w:w="5083"/>
            <w:vAlign w:val="center"/>
            <w:shd w:fill="F3F6F8"/>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Organizations with affected workflows, technologies, or sector dependencies described in the source set.</w:t>
            </w:r>
          </w:p>
        </w:tc>
      </w:tr>
      <w:tr>
        <w:tc>
          <w:tcPr>
            <w:tcW w:type="dxa" w:w="5083"/>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What should defenders do today?</w:t>
            </w:r>
          </w:p>
        </w:tc>
        <w:tc>
          <w:tcPr>
            <w:tcW w:type="dxa" w:w="5083"/>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Validate exposure, monitor relevant telemetry, and prepare containment actions.</w:t>
            </w:r>
          </w:p>
        </w:tc>
      </w:tr>
      <w:tr>
        <w:tc>
          <w:tcPr>
            <w:tcW w:type="dxa" w:w="5083"/>
            <w:vAlign w:val="center"/>
            <w:shd w:fill="F3F6F8"/>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Confidence</w:t>
            </w:r>
          </w:p>
        </w:tc>
        <w:tc>
          <w:tcPr>
            <w:tcW w:type="dxa" w:w="5083"/>
            <w:vAlign w:val="center"/>
            <w:shd w:fill="F3F6F8"/>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High for source-backed claims; medium for operational extrapolation.</w:t>
            </w:r>
          </w:p>
        </w:tc>
      </w:tr>
    </w:tbl>
    <w:p>
      <w:pPr>
        <w:pStyle w:val="Heading2"/>
        <w:spacing w:after="120" w:before="120"/>
        <w:jc w:val="left"/>
      </w:pPr>
      <w:r>
        <w:rPr>
          <w:rFonts w:ascii="Liberation Serif" w:hAnsi="Liberation Serif" w:eastAsia="Liberation Serif"/>
          <w:b/>
          <w:i w:val="0"/>
          <w:color w:val="123D63"/>
          <w:sz w:val="26"/>
        </w:rPr>
        <w:t>3. Source Review &amp; Confidence</w:t>
      </w:r>
    </w:p>
    <w:tbl>
      <w:tblPr>
        <w:tblW w:type="auto" w:w="0"/>
        <w:jc w:val="left"/>
        <w:tblLayout w:type="autofit"/>
        <w:tblLook w:firstColumn="1" w:firstRow="1" w:lastColumn="0" w:lastRow="0" w:noHBand="0" w:noVBand="1" w:val="04A0"/>
      </w:tblPr>
      <w:tblGrid>
        <w:gridCol w:w="3389"/>
        <w:gridCol w:w="3389"/>
        <w:gridCol w:w="3389"/>
      </w:tblGrid>
      <w:tr>
        <w:tc>
          <w:tcPr>
            <w:tcW w:type="dxa" w:w="3389"/>
            <w:vAlign w:val="center"/>
            <w:shd w:fill="EAF4FB"/>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color w:val="123D63"/>
                <w:sz w:val="18"/>
              </w:rPr>
              <w:t>Source</w:t>
            </w:r>
          </w:p>
        </w:tc>
        <w:tc>
          <w:tcPr>
            <w:tcW w:type="dxa" w:w="3389"/>
            <w:vAlign w:val="center"/>
            <w:shd w:fill="EAF4FB"/>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color w:val="123D63"/>
                <w:sz w:val="18"/>
              </w:rPr>
              <w:t>Contribution</w:t>
            </w:r>
          </w:p>
        </w:tc>
        <w:tc>
          <w:tcPr>
            <w:tcW w:type="dxa" w:w="3389"/>
            <w:vAlign w:val="center"/>
            <w:shd w:fill="EAF4FB"/>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color w:val="123D63"/>
                <w:sz w:val="18"/>
              </w:rPr>
              <w:t>Confidence</w:t>
            </w:r>
          </w:p>
        </w:tc>
      </w:tr>
      <w:tr>
        <w:tc>
          <w:tcPr>
            <w:tcW w:type="dxa" w:w="3389"/>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CybersecureFox Collins/VMUSE coverage</w:t>
            </w:r>
          </w:p>
        </w:tc>
        <w:tc>
          <w:tcPr>
            <w:tcW w:type="dxa" w:w="3389"/>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Incident-oriented reporting on passenger-processing disruption.</w:t>
            </w:r>
          </w:p>
        </w:tc>
        <w:tc>
          <w:tcPr>
            <w:tcW w:type="dxa" w:w="3389"/>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High</w:t>
            </w:r>
          </w:p>
        </w:tc>
      </w:tr>
      <w:tr>
        <w:tc>
          <w:tcPr>
            <w:tcW w:type="dxa" w:w="3389"/>
            <w:vAlign w:val="center"/>
            <w:shd w:fill="F3F6F8"/>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Relianoid MUSE analysis</w:t>
            </w:r>
          </w:p>
        </w:tc>
        <w:tc>
          <w:tcPr>
            <w:tcW w:type="dxa" w:w="3389"/>
            <w:vAlign w:val="center"/>
            <w:shd w:fill="F3F6F8"/>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Operational resilience analysis.</w:t>
            </w:r>
          </w:p>
        </w:tc>
        <w:tc>
          <w:tcPr>
            <w:tcW w:type="dxa" w:w="3389"/>
            <w:vAlign w:val="center"/>
            <w:shd w:fill="F3F6F8"/>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Medium</w:t>
            </w:r>
          </w:p>
        </w:tc>
      </w:tr>
      <w:tr>
        <w:tc>
          <w:tcPr>
            <w:tcW w:type="dxa" w:w="3389"/>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AIQ CUPPS overview</w:t>
            </w:r>
          </w:p>
        </w:tc>
        <w:tc>
          <w:tcPr>
            <w:tcW w:type="dxa" w:w="3389"/>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Background on common-use passenger processing.</w:t>
            </w:r>
          </w:p>
        </w:tc>
        <w:tc>
          <w:tcPr>
            <w:tcW w:type="dxa" w:w="3389"/>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Medium</w:t>
            </w:r>
          </w:p>
        </w:tc>
      </w:tr>
    </w:tbl>
    <w:p>
      <w:pPr>
        <w:pStyle w:val="Heading2"/>
        <w:spacing w:after="120" w:before="120"/>
        <w:jc w:val="left"/>
      </w:pPr>
      <w:r>
        <w:rPr>
          <w:rFonts w:ascii="Liberation Serif" w:hAnsi="Liberation Serif" w:eastAsia="Liberation Serif"/>
          <w:b/>
          <w:i w:val="0"/>
          <w:color w:val="123D63"/>
          <w:sz w:val="26"/>
        </w:rPr>
        <w:t>4. Threat Actor / Campaign Overview</w:t>
      </w:r>
    </w:p>
    <w:p>
      <w:pPr>
        <w:spacing w:after="120" w:before="0"/>
        <w:jc w:val="left"/>
      </w:pPr>
      <w:r>
        <w:rPr>
          <w:rFonts w:ascii="Liberation Serif" w:hAnsi="Liberation Serif" w:eastAsia="Liberation Serif"/>
          <w:b w:val="0"/>
          <w:i w:val="0"/>
          <w:color w:val="000000"/>
          <w:sz w:val="20"/>
        </w:rPr>
        <w:t>This report focuses on defender-relevant activity rather than attribution certainty. Where actor names appear in sources, they should be treated as source-attributed labels unless independently validated by the receiving organization.</w:t>
      </w:r>
    </w:p>
    <w:p>
      <w:pPr>
        <w:pStyle w:val="Heading2"/>
        <w:spacing w:after="120" w:before="120"/>
        <w:jc w:val="left"/>
      </w:pPr>
      <w:r>
        <w:rPr>
          <w:rFonts w:ascii="Liberation Serif" w:hAnsi="Liberation Serif" w:eastAsia="Liberation Serif"/>
          <w:b/>
          <w:i w:val="0"/>
          <w:color w:val="123D63"/>
          <w:sz w:val="26"/>
        </w:rPr>
        <w:t>5. Tactics, Techniques, and Procedures</w:t>
      </w:r>
    </w:p>
    <w:tbl>
      <w:tblPr>
        <w:tblW w:type="auto" w:w="0"/>
        <w:jc w:val="left"/>
        <w:tblLayout w:type="autofit"/>
        <w:tblLook w:firstColumn="1" w:firstRow="1" w:lastColumn="0" w:lastRow="0" w:noHBand="0" w:noVBand="1" w:val="04A0"/>
      </w:tblPr>
      <w:tblGrid>
        <w:gridCol w:w="3389"/>
        <w:gridCol w:w="3389"/>
        <w:gridCol w:w="3389"/>
      </w:tblGrid>
      <w:tr>
        <w:tc>
          <w:tcPr>
            <w:tcW w:type="dxa" w:w="3389"/>
            <w:vAlign w:val="center"/>
            <w:shd w:fill="EAF4FB"/>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color w:val="123D63"/>
                <w:sz w:val="18"/>
              </w:rPr>
              <w:t>TTP</w:t>
            </w:r>
          </w:p>
        </w:tc>
        <w:tc>
          <w:tcPr>
            <w:tcW w:type="dxa" w:w="3389"/>
            <w:vAlign w:val="center"/>
            <w:shd w:fill="EAF4FB"/>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color w:val="123D63"/>
                <w:sz w:val="18"/>
              </w:rPr>
              <w:t>Description</w:t>
            </w:r>
          </w:p>
        </w:tc>
        <w:tc>
          <w:tcPr>
            <w:tcW w:type="dxa" w:w="3389"/>
            <w:vAlign w:val="center"/>
            <w:shd w:fill="EAF4FB"/>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color w:val="123D63"/>
                <w:sz w:val="18"/>
              </w:rPr>
              <w:t>Defensive Relevance</w:t>
            </w:r>
          </w:p>
        </w:tc>
      </w:tr>
      <w:tr>
        <w:tc>
          <w:tcPr>
            <w:tcW w:type="dxa" w:w="3389"/>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Social engineering / lure delivery</w:t>
            </w:r>
          </w:p>
        </w:tc>
        <w:tc>
          <w:tcPr>
            <w:tcW w:type="dxa" w:w="3389"/>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Public reporting emphasizes phishing, recruiter, browser, or topical lures where applicable.</w:t>
            </w:r>
          </w:p>
        </w:tc>
        <w:tc>
          <w:tcPr>
            <w:tcW w:type="dxa" w:w="3389"/>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Review email, browser, and identity telemetry together.</w:t>
            </w:r>
          </w:p>
        </w:tc>
      </w:tr>
      <w:tr>
        <w:tc>
          <w:tcPr>
            <w:tcW w:type="dxa" w:w="3389"/>
            <w:vAlign w:val="center"/>
            <w:shd w:fill="F3F6F8"/>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Scripted execution</w:t>
            </w:r>
          </w:p>
        </w:tc>
        <w:tc>
          <w:tcPr>
            <w:tcW w:type="dxa" w:w="3389"/>
            <w:vAlign w:val="center"/>
            <w:shd w:fill="F3F6F8"/>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Intrusions commonly progress through command interpreters, script hosts, or staged tooling.</w:t>
            </w:r>
          </w:p>
        </w:tc>
        <w:tc>
          <w:tcPr>
            <w:tcW w:type="dxa" w:w="3389"/>
            <w:vAlign w:val="center"/>
            <w:shd w:fill="F3F6F8"/>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Monitor endpoint process lineage and command lines.</w:t>
            </w:r>
          </w:p>
        </w:tc>
      </w:tr>
      <w:tr>
        <w:tc>
          <w:tcPr>
            <w:tcW w:type="dxa" w:w="3389"/>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C2 / remote access</w:t>
            </w:r>
          </w:p>
        </w:tc>
        <w:tc>
          <w:tcPr>
            <w:tcW w:type="dxa" w:w="3389"/>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Tool staging and outbound control channels are common follow-on patterns.</w:t>
            </w:r>
          </w:p>
        </w:tc>
        <w:tc>
          <w:tcPr>
            <w:tcW w:type="dxa" w:w="3389"/>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Correlate DNS, proxy, netflow, and EDR.</w:t>
            </w:r>
          </w:p>
        </w:tc>
      </w:tr>
    </w:tbl>
    <w:p>
      <w:pPr>
        <w:pStyle w:val="Heading2"/>
        <w:spacing w:after="120" w:before="120"/>
        <w:jc w:val="left"/>
      </w:pPr>
      <w:r>
        <w:rPr>
          <w:rFonts w:ascii="Liberation Serif" w:hAnsi="Liberation Serif" w:eastAsia="Liberation Serif"/>
          <w:b/>
          <w:i w:val="0"/>
          <w:color w:val="123D63"/>
          <w:sz w:val="26"/>
        </w:rPr>
        <w:t>6. Infrastructure and Indicators</w:t>
      </w:r>
    </w:p>
    <w:tbl>
      <w:tblPr>
        <w:tblW w:type="auto" w:w="0"/>
        <w:jc w:val="left"/>
        <w:tblLayout w:type="autofit"/>
        <w:tblLook w:firstColumn="1" w:firstRow="1" w:lastColumn="0" w:lastRow="0" w:noHBand="0" w:noVBand="1" w:val="04A0"/>
      </w:tblPr>
      <w:tblGrid>
        <w:gridCol w:w="3389"/>
        <w:gridCol w:w="3389"/>
        <w:gridCol w:w="3389"/>
      </w:tblGrid>
      <w:tr>
        <w:tc>
          <w:tcPr>
            <w:tcW w:type="dxa" w:w="3389"/>
            <w:vAlign w:val="center"/>
            <w:shd w:fill="EAF4FB"/>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color w:val="123D63"/>
                <w:sz w:val="18"/>
              </w:rPr>
              <w:t>Observable Type</w:t>
            </w:r>
          </w:p>
        </w:tc>
        <w:tc>
          <w:tcPr>
            <w:tcW w:type="dxa" w:w="3389"/>
            <w:vAlign w:val="center"/>
            <w:shd w:fill="EAF4FB"/>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color w:val="123D63"/>
                <w:sz w:val="18"/>
              </w:rPr>
              <w:t>Observable / Pattern</w:t>
            </w:r>
          </w:p>
        </w:tc>
        <w:tc>
          <w:tcPr>
            <w:tcW w:type="dxa" w:w="3389"/>
            <w:vAlign w:val="center"/>
            <w:shd w:fill="EAF4FB"/>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color w:val="123D63"/>
                <w:sz w:val="18"/>
              </w:rPr>
              <w:t>Handling Guidance</w:t>
            </w:r>
          </w:p>
        </w:tc>
      </w:tr>
      <w:tr>
        <w:tc>
          <w:tcPr>
            <w:tcW w:type="dxa" w:w="3389"/>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Source-limited public IOCs</w:t>
            </w:r>
          </w:p>
        </w:tc>
        <w:tc>
          <w:tcPr>
            <w:tcW w:type="dxa" w:w="3389"/>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No unique atomic indicators were published across all selected sources for this automated report unless listed in iocs.csv.</w:t>
            </w:r>
          </w:p>
        </w:tc>
        <w:tc>
          <w:tcPr>
            <w:tcW w:type="dxa" w:w="3389"/>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Treat behavior, tooling, and infrastructure patterns as primary hunt leads.</w:t>
            </w:r>
          </w:p>
        </w:tc>
      </w:tr>
      <w:tr>
        <w:tc>
          <w:tcPr>
            <w:tcW w:type="dxa" w:w="3389"/>
            <w:vAlign w:val="center"/>
            <w:shd w:fill="F3F6F8"/>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Domains / infrastructure</w:t>
            </w:r>
          </w:p>
        </w:tc>
        <w:tc>
          <w:tcPr>
            <w:tcW w:type="dxa" w:w="3389"/>
            <w:vAlign w:val="center"/>
            <w:shd w:fill="F3F6F8"/>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Validate from primary source before blocking.</w:t>
            </w:r>
          </w:p>
        </w:tc>
        <w:tc>
          <w:tcPr>
            <w:tcW w:type="dxa" w:w="3389"/>
            <w:vAlign w:val="center"/>
            <w:shd w:fill="F3F6F8"/>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Prefer enrichment and scoped blocking over broad denial lists.</w:t>
            </w:r>
          </w:p>
        </w:tc>
      </w:tr>
      <w:tr>
        <w:tc>
          <w:tcPr>
            <w:tcW w:type="dxa" w:w="3389"/>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Accounts / identity artifacts</w:t>
            </w:r>
          </w:p>
        </w:tc>
        <w:tc>
          <w:tcPr>
            <w:tcW w:type="dxa" w:w="3389"/>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Recruiter, VPN, administrator, SaaS, or service-account themes depending on campaign.</w:t>
            </w:r>
          </w:p>
        </w:tc>
        <w:tc>
          <w:tcPr>
            <w:tcW w:type="dxa" w:w="3389"/>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Review conditional access, new devices, impossible travel, and anomalous grants.</w:t>
            </w:r>
          </w:p>
        </w:tc>
      </w:tr>
    </w:tbl>
    <w:p>
      <w:pPr>
        <w:pStyle w:val="Heading2"/>
        <w:spacing w:after="120" w:before="120"/>
        <w:jc w:val="left"/>
      </w:pPr>
      <w:r>
        <w:rPr>
          <w:rFonts w:ascii="Liberation Serif" w:hAnsi="Liberation Serif" w:eastAsia="Liberation Serif"/>
          <w:b/>
          <w:i w:val="0"/>
          <w:color w:val="123D63"/>
          <w:sz w:val="26"/>
        </w:rPr>
        <w:t>7. Victimology and Targeting</w:t>
      </w:r>
    </w:p>
    <w:p>
      <w:pPr>
        <w:spacing w:after="120" w:before="0"/>
        <w:jc w:val="left"/>
      </w:pPr>
      <w:r>
        <w:rPr>
          <w:rFonts w:ascii="Liberation Serif" w:hAnsi="Liberation Serif" w:eastAsia="Liberation Serif"/>
          <w:b w:val="0"/>
          <w:i w:val="0"/>
          <w:color w:val="000000"/>
          <w:sz w:val="20"/>
        </w:rPr>
        <w:t>Victimology follows the source theme: Airports, airlines, ground handling, common-use systems.</w:t>
      </w:r>
    </w:p>
    <w:p>
      <w:pPr>
        <w:pStyle w:val="Heading2"/>
        <w:spacing w:after="120" w:before="120"/>
        <w:jc w:val="left"/>
      </w:pPr>
      <w:r>
        <w:rPr>
          <w:rFonts w:ascii="Liberation Serif" w:hAnsi="Liberation Serif" w:eastAsia="Liberation Serif"/>
          <w:b/>
          <w:i w:val="0"/>
          <w:color w:val="123D63"/>
          <w:sz w:val="26"/>
        </w:rPr>
        <w:t>8. Aviation and Aerospace Sector Impact</w:t>
      </w:r>
    </w:p>
    <w:tbl>
      <w:tblPr>
        <w:tblW w:type="auto" w:w="0"/>
        <w:jc w:val="left"/>
        <w:tblLayout w:type="autofit"/>
        <w:tblLook w:firstColumn="1" w:firstRow="1" w:lastColumn="0" w:lastRow="0" w:noHBand="0" w:noVBand="1" w:val="04A0"/>
      </w:tblPr>
      <w:tblGrid>
        <w:gridCol w:w="2541"/>
        <w:gridCol w:w="2541"/>
        <w:gridCol w:w="2541"/>
        <w:gridCol w:w="2541"/>
      </w:tblGrid>
      <w:tr>
        <w:tc>
          <w:tcPr>
            <w:tcW w:type="dxa" w:w="2541"/>
            <w:vAlign w:val="center"/>
            <w:shd w:fill="EAF4FB"/>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color w:val="123D63"/>
                <w:sz w:val="18"/>
              </w:rPr>
              <w:t>Segment</w:t>
            </w:r>
          </w:p>
        </w:tc>
        <w:tc>
          <w:tcPr>
            <w:tcW w:type="dxa" w:w="2541"/>
            <w:vAlign w:val="center"/>
            <w:shd w:fill="EAF4FB"/>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color w:val="123D63"/>
                <w:sz w:val="18"/>
              </w:rPr>
              <w:t>Operational Relevance</w:t>
            </w:r>
          </w:p>
        </w:tc>
        <w:tc>
          <w:tcPr>
            <w:tcW w:type="dxa" w:w="2541"/>
            <w:vAlign w:val="center"/>
            <w:shd w:fill="EAF4FB"/>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color w:val="123D63"/>
                <w:sz w:val="18"/>
              </w:rPr>
              <w:t>Exposure Path</w:t>
            </w:r>
          </w:p>
        </w:tc>
        <w:tc>
          <w:tcPr>
            <w:tcW w:type="dxa" w:w="2541"/>
            <w:vAlign w:val="center"/>
            <w:shd w:fill="EAF4FB"/>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color w:val="123D63"/>
                <w:sz w:val="18"/>
              </w:rPr>
              <w:t>Defender Action</w:t>
            </w:r>
          </w:p>
        </w:tc>
      </w:tr>
      <w:tr>
        <w:tc>
          <w:tcPr>
            <w:tcW w:type="dxa" w:w="2541"/>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Airports, airlines, ground handling, common-use systems</w:t>
            </w:r>
          </w:p>
        </w:tc>
        <w:tc>
          <w:tcPr>
            <w:tcW w:type="dxa" w:w="2541"/>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Recent reporting around common-use passenger processing outages underscores airport dependence on shared check-in, bag-drop, kiosk, and boarding systems. The key exposure is third-party platform concentration: one provider incident can create multi-airport operational disruption.</w:t>
            </w:r>
          </w:p>
        </w:tc>
        <w:tc>
          <w:tcPr>
            <w:tcW w:type="dxa" w:w="2541"/>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Third-party platforms, identity systems, remote access, connected operational technology, or aviation-specific communications dependencies.</w:t>
            </w:r>
          </w:p>
        </w:tc>
        <w:tc>
          <w:tcPr>
            <w:tcW w:type="dxa" w:w="2541"/>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Map dependencies, validate monitoring coverage, test continuity plans, and coordinate cyber findings with safety/operations leaders.</w:t>
            </w:r>
          </w:p>
        </w:tc>
      </w:tr>
      <w:tr>
        <w:tc>
          <w:tcPr>
            <w:tcW w:type="dxa" w:w="2541"/>
            <w:vAlign w:val="center"/>
            <w:shd w:fill="F3F6F8"/>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Supply chain</w:t>
            </w:r>
          </w:p>
        </w:tc>
        <w:tc>
          <w:tcPr>
            <w:tcW w:type="dxa" w:w="2541"/>
            <w:vAlign w:val="center"/>
            <w:shd w:fill="F3F6F8"/>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Aviation operations depend on vendors and managed services with privileged access.</w:t>
            </w:r>
          </w:p>
        </w:tc>
        <w:tc>
          <w:tcPr>
            <w:tcW w:type="dxa" w:w="2541"/>
            <w:vAlign w:val="center"/>
            <w:shd w:fill="F3F6F8"/>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MSP, SaaS, maintenance, passenger-processing, satellite, or engineering providers.</w:t>
            </w:r>
          </w:p>
        </w:tc>
        <w:tc>
          <w:tcPr>
            <w:tcW w:type="dxa" w:w="2541"/>
            <w:vAlign w:val="center"/>
            <w:shd w:fill="F3F6F8"/>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Require incident notification, MFA, logging, and recovery evidence from critical providers.</w:t>
            </w:r>
          </w:p>
        </w:tc>
      </w:tr>
      <w:tr>
        <w:tc>
          <w:tcPr>
            <w:tcW w:type="dxa" w:w="2541"/>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Security operations</w:t>
            </w:r>
          </w:p>
        </w:tc>
        <w:tc>
          <w:tcPr>
            <w:tcW w:type="dxa" w:w="2541"/>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Indicators may be behavioral rather than atomic.</w:t>
            </w:r>
          </w:p>
        </w:tc>
        <w:tc>
          <w:tcPr>
            <w:tcW w:type="dxa" w:w="2541"/>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Identity, endpoint, network, email, and provider logs.</w:t>
            </w:r>
          </w:p>
        </w:tc>
        <w:tc>
          <w:tcPr>
            <w:tcW w:type="dxa" w:w="2541"/>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Hunt for the behaviors listed in this report and preserve cross-domain evidence.</w:t>
            </w:r>
          </w:p>
        </w:tc>
      </w:tr>
    </w:tbl>
    <w:p>
      <w:pPr>
        <w:pStyle w:val="Heading2"/>
        <w:spacing w:after="120" w:before="120"/>
        <w:jc w:val="left"/>
      </w:pPr>
      <w:r>
        <w:rPr>
          <w:rFonts w:ascii="Liberation Serif" w:hAnsi="Liberation Serif" w:eastAsia="Liberation Serif"/>
          <w:b/>
          <w:i w:val="0"/>
          <w:color w:val="123D63"/>
          <w:sz w:val="26"/>
        </w:rPr>
        <w:t>9. Detection Engineering</w:t>
      </w:r>
    </w:p>
    <w:p>
      <w:pPr>
        <w:pStyle w:val="Heading3"/>
        <w:spacing w:after="80" w:before="80"/>
        <w:jc w:val="left"/>
      </w:pPr>
      <w:r>
        <w:rPr>
          <w:rFonts w:ascii="Liberation Serif" w:hAnsi="Liberation Serif" w:eastAsia="Liberation Serif"/>
          <w:b/>
          <w:i w:val="0"/>
          <w:color w:val="000000"/>
          <w:sz w:val="22"/>
        </w:rPr>
        <w:t>9.1. Detection Logic Summary</w:t>
      </w:r>
    </w:p>
    <w:tbl>
      <w:tblPr>
        <w:tblW w:type="auto" w:w="0"/>
        <w:jc w:val="left"/>
        <w:tblLayout w:type="autofit"/>
        <w:tblLook w:firstColumn="1" w:firstRow="1" w:lastColumn="0" w:lastRow="0" w:noHBand="0" w:noVBand="1" w:val="04A0"/>
      </w:tblPr>
      <w:tblGrid>
        <w:gridCol w:w="3389"/>
        <w:gridCol w:w="3389"/>
        <w:gridCol w:w="3389"/>
      </w:tblGrid>
      <w:tr>
        <w:tc>
          <w:tcPr>
            <w:tcW w:type="dxa" w:w="3389"/>
            <w:vAlign w:val="center"/>
            <w:shd w:fill="EAF4FB"/>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color w:val="123D63"/>
                <w:sz w:val="18"/>
              </w:rPr>
              <w:t>Signal</w:t>
            </w:r>
          </w:p>
        </w:tc>
        <w:tc>
          <w:tcPr>
            <w:tcW w:type="dxa" w:w="3389"/>
            <w:vAlign w:val="center"/>
            <w:shd w:fill="EAF4FB"/>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color w:val="123D63"/>
                <w:sz w:val="18"/>
              </w:rPr>
              <w:t>Telemetry Source</w:t>
            </w:r>
          </w:p>
        </w:tc>
        <w:tc>
          <w:tcPr>
            <w:tcW w:type="dxa" w:w="3389"/>
            <w:vAlign w:val="center"/>
            <w:shd w:fill="EAF4FB"/>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color w:val="123D63"/>
                <w:sz w:val="18"/>
              </w:rPr>
              <w:t>Analytic Goal</w:t>
            </w:r>
          </w:p>
        </w:tc>
      </w:tr>
      <w:tr>
        <w:tc>
          <w:tcPr>
            <w:tcW w:type="dxa" w:w="3389"/>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Unusual script or remote tool launch after web, email, remote access, or SaaS activity</w:t>
            </w:r>
          </w:p>
        </w:tc>
        <w:tc>
          <w:tcPr>
            <w:tcW w:type="dxa" w:w="3389"/>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EDR / process telemetry</w:t>
            </w:r>
          </w:p>
        </w:tc>
        <w:tc>
          <w:tcPr>
            <w:tcW w:type="dxa" w:w="3389"/>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Identify initial access and execution.</w:t>
            </w:r>
          </w:p>
        </w:tc>
      </w:tr>
      <w:tr>
        <w:tc>
          <w:tcPr>
            <w:tcW w:type="dxa" w:w="3389"/>
            <w:vAlign w:val="center"/>
            <w:shd w:fill="F3F6F8"/>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New outbound connections to untrusted infrastructure</w:t>
            </w:r>
          </w:p>
        </w:tc>
        <w:tc>
          <w:tcPr>
            <w:tcW w:type="dxa" w:w="3389"/>
            <w:vAlign w:val="center"/>
            <w:shd w:fill="F3F6F8"/>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DNS/proxy/netflow</w:t>
            </w:r>
          </w:p>
        </w:tc>
        <w:tc>
          <w:tcPr>
            <w:tcW w:type="dxa" w:w="3389"/>
            <w:vAlign w:val="center"/>
            <w:shd w:fill="F3F6F8"/>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Surface command-and-control or tool staging.</w:t>
            </w:r>
          </w:p>
        </w:tc>
      </w:tr>
      <w:tr>
        <w:tc>
          <w:tcPr>
            <w:tcW w:type="dxa" w:w="3389"/>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Identity anomalies linked to target workflow</w:t>
            </w:r>
          </w:p>
        </w:tc>
        <w:tc>
          <w:tcPr>
            <w:tcW w:type="dxa" w:w="3389"/>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Identity provider logs</w:t>
            </w:r>
          </w:p>
        </w:tc>
        <w:tc>
          <w:tcPr>
            <w:tcW w:type="dxa" w:w="3389"/>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Detect stolen credential or social-engineering follow-on use.</w:t>
            </w:r>
          </w:p>
        </w:tc>
      </w:tr>
    </w:tbl>
    <w:tbl>
      <w:tblPr>
        <w:tblW w:type="auto" w:w="0"/>
        <w:jc w:val="left"/>
        <w:tblLook w:firstColumn="1" w:firstRow="1" w:lastColumn="0" w:lastRow="0" w:noHBand="0" w:noVBand="1" w:val="04A0"/>
      </w:tblPr>
      <w:tblGrid>
        <w:gridCol w:w="10166"/>
      </w:tblGrid>
      <w:tr>
        <w:tc>
          <w:tcPr>
            <w:tcW w:type="dxa" w:w="10166"/>
            <w:shd w:fill="F3F6F8"/>
            <w:tcBorders>
              <w:top w:val="single" w:sz="6" w:color="75A9CF"/>
              <w:left w:val="single" w:sz="6" w:color="75A9CF"/>
              <w:bottom w:val="single" w:sz="6" w:color="75A9CF"/>
              <w:right w:val="single" w:sz="6" w:color="75A9CF"/>
            </w:tcBorders>
          </w:tcPr>
          <w:p>
            <w:pPr>
              <w:spacing w:before="0" w:after="0"/>
              <w:ind w:left="0"/>
            </w:pPr>
            <w:r/>
            <w:r>
              <w:rPr>
                <w:rFonts w:ascii="Liberation Mono" w:hAnsi="Liberation Mono" w:eastAsia="Liberation Mono"/>
                <w:color w:val="000000"/>
                <w:sz w:val="16"/>
              </w:rPr>
              <w:t>title: Suspicious Script Or Remote Tool Activity In Daily Threat Coverage</w:t>
            </w:r>
          </w:p>
          <w:p>
            <w:pPr>
              <w:spacing w:before="0" w:after="0"/>
              <w:ind w:left="0"/>
            </w:pPr>
            <w:r/>
            <w:r>
              <w:rPr>
                <w:rFonts w:ascii="Liberation Mono" w:hAnsi="Liberation Mono" w:eastAsia="Liberation Mono"/>
                <w:color w:val="000000"/>
                <w:sz w:val="16"/>
              </w:rPr>
              <w:t>status: experimental</w:t>
            </w:r>
          </w:p>
          <w:p>
            <w:pPr>
              <w:spacing w:before="0" w:after="0"/>
              <w:ind w:left="0"/>
            </w:pPr>
            <w:r/>
            <w:r>
              <w:rPr>
                <w:rFonts w:ascii="Liberation Mono" w:hAnsi="Liberation Mono" w:eastAsia="Liberation Mono"/>
                <w:color w:val="000000"/>
                <w:sz w:val="16"/>
              </w:rPr>
              <w:t>description: Detects suspicious script execution and remote-tool staging patterns relevant to daily threat-intelligence coverage.</w:t>
            </w:r>
          </w:p>
          <w:p>
            <w:pPr>
              <w:spacing w:before="0" w:after="0"/>
              <w:ind w:left="0"/>
            </w:pPr>
            <w:r/>
            <w:r>
              <w:rPr>
                <w:rFonts w:ascii="Liberation Mono" w:hAnsi="Liberation Mono" w:eastAsia="Liberation Mono"/>
                <w:color w:val="000000"/>
                <w:sz w:val="16"/>
              </w:rPr>
              <w:t>logsource:</w:t>
            </w:r>
          </w:p>
          <w:p>
            <w:pPr>
              <w:spacing w:before="0" w:after="0"/>
              <w:ind w:left="0"/>
            </w:pPr>
            <w:r/>
            <w:r>
              <w:rPr>
                <w:rFonts w:ascii="Liberation Mono" w:hAnsi="Liberation Mono" w:eastAsia="Liberation Mono"/>
                <w:color w:val="000000"/>
                <w:sz w:val="16"/>
              </w:rPr>
              <w:t xml:space="preserve">  category: process_creation</w:t>
            </w:r>
          </w:p>
          <w:p>
            <w:pPr>
              <w:spacing w:before="0" w:after="0"/>
              <w:ind w:left="0"/>
            </w:pPr>
            <w:r/>
            <w:r>
              <w:rPr>
                <w:rFonts w:ascii="Liberation Mono" w:hAnsi="Liberation Mono" w:eastAsia="Liberation Mono"/>
                <w:color w:val="000000"/>
                <w:sz w:val="16"/>
              </w:rPr>
              <w:t xml:space="preserve">  product: windows</w:t>
            </w:r>
          </w:p>
          <w:p>
            <w:pPr>
              <w:spacing w:before="0" w:after="0"/>
              <w:ind w:left="0"/>
            </w:pPr>
            <w:r/>
            <w:r>
              <w:rPr>
                <w:rFonts w:ascii="Liberation Mono" w:hAnsi="Liberation Mono" w:eastAsia="Liberation Mono"/>
                <w:color w:val="000000"/>
                <w:sz w:val="16"/>
              </w:rPr>
              <w:t>detection:</w:t>
            </w:r>
          </w:p>
          <w:p>
            <w:pPr>
              <w:spacing w:before="0" w:after="0"/>
              <w:ind w:left="0"/>
            </w:pPr>
            <w:r/>
            <w:r>
              <w:rPr>
                <w:rFonts w:ascii="Liberation Mono" w:hAnsi="Liberation Mono" w:eastAsia="Liberation Mono"/>
                <w:color w:val="000000"/>
                <w:sz w:val="16"/>
              </w:rPr>
              <w:t xml:space="preserve">  selection_parent:</w:t>
            </w:r>
          </w:p>
          <w:p>
            <w:pPr>
              <w:spacing w:before="0" w:after="0"/>
              <w:ind w:left="0"/>
            </w:pPr>
            <w:r/>
            <w:r>
              <w:rPr>
                <w:rFonts w:ascii="Liberation Mono" w:hAnsi="Liberation Mono" w:eastAsia="Liberation Mono"/>
                <w:color w:val="000000"/>
                <w:sz w:val="16"/>
              </w:rPr>
              <w:t xml:space="preserve">    ParentImage|endswith:</w:t>
            </w:r>
          </w:p>
          <w:p>
            <w:pPr>
              <w:spacing w:before="0" w:after="0"/>
              <w:ind w:left="0"/>
            </w:pPr>
            <w:r/>
            <w:r>
              <w:rPr>
                <w:rFonts w:ascii="Liberation Mono" w:hAnsi="Liberation Mono" w:eastAsia="Liberation Mono"/>
                <w:color w:val="000000"/>
                <w:sz w:val="16"/>
              </w:rPr>
              <w:t xml:space="preserve">      - '\chrome.exe'</w:t>
            </w:r>
          </w:p>
          <w:p>
            <w:pPr>
              <w:spacing w:before="0" w:after="0"/>
              <w:ind w:left="0"/>
            </w:pPr>
            <w:r/>
            <w:r>
              <w:rPr>
                <w:rFonts w:ascii="Liberation Mono" w:hAnsi="Liberation Mono" w:eastAsia="Liberation Mono"/>
                <w:color w:val="000000"/>
                <w:sz w:val="16"/>
              </w:rPr>
              <w:t xml:space="preserve">      - '\msedge.exe'</w:t>
            </w:r>
          </w:p>
          <w:p>
            <w:pPr>
              <w:spacing w:before="0" w:after="0"/>
              <w:ind w:left="0"/>
            </w:pPr>
            <w:r/>
            <w:r>
              <w:rPr>
                <w:rFonts w:ascii="Liberation Mono" w:hAnsi="Liberation Mono" w:eastAsia="Liberation Mono"/>
                <w:color w:val="000000"/>
                <w:sz w:val="16"/>
              </w:rPr>
              <w:t xml:space="preserve">      - '\outlook.exe'</w:t>
            </w:r>
          </w:p>
          <w:p>
            <w:pPr>
              <w:spacing w:before="0" w:after="0"/>
              <w:ind w:left="0"/>
            </w:pPr>
            <w:r/>
            <w:r>
              <w:rPr>
                <w:rFonts w:ascii="Liberation Mono" w:hAnsi="Liberation Mono" w:eastAsia="Liberation Mono"/>
                <w:color w:val="000000"/>
                <w:sz w:val="16"/>
              </w:rPr>
              <w:t xml:space="preserve">      - '\teams.exe'</w:t>
            </w:r>
          </w:p>
          <w:p>
            <w:pPr>
              <w:spacing w:before="0" w:after="0"/>
              <w:ind w:left="0"/>
            </w:pPr>
            <w:r/>
            <w:r>
              <w:rPr>
                <w:rFonts w:ascii="Liberation Mono" w:hAnsi="Liberation Mono" w:eastAsia="Liberation Mono"/>
                <w:color w:val="000000"/>
                <w:sz w:val="16"/>
              </w:rPr>
              <w:t xml:space="preserve">      - '\w3wp.exe'</w:t>
            </w:r>
          </w:p>
          <w:p>
            <w:pPr>
              <w:spacing w:before="0" w:after="0"/>
              <w:ind w:left="0"/>
            </w:pPr>
            <w:r/>
            <w:r>
              <w:rPr>
                <w:rFonts w:ascii="Liberation Mono" w:hAnsi="Liberation Mono" w:eastAsia="Liberation Mono"/>
                <w:color w:val="000000"/>
                <w:sz w:val="16"/>
              </w:rPr>
              <w:t xml:space="preserve">  selection_child:</w:t>
            </w:r>
          </w:p>
          <w:p>
            <w:pPr>
              <w:spacing w:before="0" w:after="0"/>
              <w:ind w:left="0"/>
            </w:pPr>
            <w:r/>
            <w:r>
              <w:rPr>
                <w:rFonts w:ascii="Liberation Mono" w:hAnsi="Liberation Mono" w:eastAsia="Liberation Mono"/>
                <w:color w:val="000000"/>
                <w:sz w:val="16"/>
              </w:rPr>
              <w:t xml:space="preserve">    Image|endswith:</w:t>
            </w:r>
          </w:p>
          <w:p>
            <w:pPr>
              <w:spacing w:before="0" w:after="0"/>
              <w:ind w:left="0"/>
            </w:pPr>
            <w:r/>
            <w:r>
              <w:rPr>
                <w:rFonts w:ascii="Liberation Mono" w:hAnsi="Liberation Mono" w:eastAsia="Liberation Mono"/>
                <w:color w:val="000000"/>
                <w:sz w:val="16"/>
              </w:rPr>
              <w:t xml:space="preserve">      - '\powershell.exe'</w:t>
            </w:r>
          </w:p>
          <w:p>
            <w:pPr>
              <w:spacing w:before="0" w:after="0"/>
              <w:ind w:left="0"/>
            </w:pPr>
            <w:r/>
            <w:r>
              <w:rPr>
                <w:rFonts w:ascii="Liberation Mono" w:hAnsi="Liberation Mono" w:eastAsia="Liberation Mono"/>
                <w:color w:val="000000"/>
                <w:sz w:val="16"/>
              </w:rPr>
              <w:t xml:space="preserve">      - '\cmd.exe'</w:t>
            </w:r>
          </w:p>
          <w:p>
            <w:pPr>
              <w:spacing w:before="0" w:after="0"/>
              <w:ind w:left="0"/>
            </w:pPr>
            <w:r/>
            <w:r>
              <w:rPr>
                <w:rFonts w:ascii="Liberation Mono" w:hAnsi="Liberation Mono" w:eastAsia="Liberation Mono"/>
                <w:color w:val="000000"/>
                <w:sz w:val="16"/>
              </w:rPr>
              <w:t xml:space="preserve">      - '\wscript.exe'</w:t>
            </w:r>
          </w:p>
          <w:p>
            <w:pPr>
              <w:spacing w:before="0" w:after="0"/>
              <w:ind w:left="0"/>
            </w:pPr>
            <w:r/>
            <w:r>
              <w:rPr>
                <w:rFonts w:ascii="Liberation Mono" w:hAnsi="Liberation Mono" w:eastAsia="Liberation Mono"/>
                <w:color w:val="000000"/>
                <w:sz w:val="16"/>
              </w:rPr>
              <w:t xml:space="preserve">      - '\cscript.exe'</w:t>
            </w:r>
          </w:p>
          <w:p>
            <w:pPr>
              <w:spacing w:before="0" w:after="0"/>
              <w:ind w:left="0"/>
            </w:pPr>
            <w:r/>
            <w:r>
              <w:rPr>
                <w:rFonts w:ascii="Liberation Mono" w:hAnsi="Liberation Mono" w:eastAsia="Liberation Mono"/>
                <w:color w:val="000000"/>
                <w:sz w:val="16"/>
              </w:rPr>
              <w:t xml:space="preserve">      - '\mshta.exe'</w:t>
            </w:r>
          </w:p>
          <w:p>
            <w:pPr>
              <w:spacing w:before="0" w:after="0"/>
              <w:ind w:left="0"/>
            </w:pPr>
            <w:r/>
            <w:r>
              <w:rPr>
                <w:rFonts w:ascii="Liberation Mono" w:hAnsi="Liberation Mono" w:eastAsia="Liberation Mono"/>
                <w:color w:val="000000"/>
                <w:sz w:val="16"/>
              </w:rPr>
              <w:t xml:space="preserve">      - '\rundll32.exe'</w:t>
            </w:r>
          </w:p>
          <w:p>
            <w:pPr>
              <w:spacing w:before="0" w:after="0"/>
              <w:ind w:left="0"/>
            </w:pPr>
            <w:r/>
            <w:r>
              <w:rPr>
                <w:rFonts w:ascii="Liberation Mono" w:hAnsi="Liberation Mono" w:eastAsia="Liberation Mono"/>
                <w:color w:val="000000"/>
                <w:sz w:val="16"/>
              </w:rPr>
              <w:t xml:space="preserve">  condition: selection_parent and selection_child</w:t>
            </w:r>
          </w:p>
          <w:p>
            <w:pPr>
              <w:spacing w:before="0" w:after="0"/>
              <w:ind w:left="0"/>
            </w:pPr>
            <w:r/>
            <w:r>
              <w:rPr>
                <w:rFonts w:ascii="Liberation Mono" w:hAnsi="Liberation Mono" w:eastAsia="Liberation Mono"/>
                <w:color w:val="000000"/>
                <w:sz w:val="16"/>
              </w:rPr>
              <w:t>level: high</w:t>
            </w:r>
          </w:p>
        </w:tc>
      </w:tr>
    </w:tbl>
    <w:tbl>
      <w:tblPr>
        <w:tblW w:type="auto" w:w="0"/>
        <w:jc w:val="left"/>
        <w:tblLook w:firstColumn="1" w:firstRow="1" w:lastColumn="0" w:lastRow="0" w:noHBand="0" w:noVBand="1" w:val="04A0"/>
      </w:tblPr>
      <w:tblGrid>
        <w:gridCol w:w="10166"/>
      </w:tblGrid>
      <w:tr>
        <w:tc>
          <w:tcPr>
            <w:tcW w:type="dxa" w:w="10166"/>
            <w:shd w:fill="F3F6F8"/>
            <w:tcBorders>
              <w:top w:val="single" w:sz="6" w:color="75A9CF"/>
              <w:left w:val="single" w:sz="6" w:color="75A9CF"/>
              <w:bottom w:val="single" w:sz="6" w:color="75A9CF"/>
              <w:right w:val="single" w:sz="6" w:color="75A9CF"/>
            </w:tcBorders>
          </w:tcPr>
          <w:p>
            <w:pPr>
              <w:spacing w:before="0" w:after="0"/>
              <w:ind w:left="0"/>
            </w:pPr>
            <w:r/>
            <w:r>
              <w:rPr>
                <w:rFonts w:ascii="Liberation Mono" w:hAnsi="Liberation Mono" w:eastAsia="Liberation Mono"/>
                <w:color w:val="000000"/>
                <w:sz w:val="16"/>
              </w:rPr>
              <w:t>DeviceProcessEvents</w:t>
            </w:r>
          </w:p>
          <w:p>
            <w:pPr>
              <w:spacing w:before="0" w:after="0"/>
              <w:ind w:left="0"/>
            </w:pPr>
            <w:r/>
            <w:r>
              <w:rPr>
                <w:rFonts w:ascii="Liberation Mono" w:hAnsi="Liberation Mono" w:eastAsia="Liberation Mono"/>
                <w:color w:val="000000"/>
                <w:sz w:val="16"/>
              </w:rPr>
              <w:t>| where Timestamp &gt; ago(14d)</w:t>
            </w:r>
          </w:p>
          <w:p>
            <w:pPr>
              <w:spacing w:before="0" w:after="0"/>
              <w:ind w:left="0"/>
            </w:pPr>
            <w:r/>
            <w:r>
              <w:rPr>
                <w:rFonts w:ascii="Liberation Mono" w:hAnsi="Liberation Mono" w:eastAsia="Liberation Mono"/>
                <w:color w:val="000000"/>
                <w:sz w:val="16"/>
              </w:rPr>
              <w:t>| where FileName in~ ("powershell.exe","cmd.exe","wscript.exe","cscript.exe","mshta.exe","rundll32.exe")</w:t>
            </w:r>
          </w:p>
          <w:p>
            <w:pPr>
              <w:spacing w:before="0" w:after="0"/>
              <w:ind w:left="0"/>
            </w:pPr>
            <w:r/>
            <w:r>
              <w:rPr>
                <w:rFonts w:ascii="Liberation Mono" w:hAnsi="Liberation Mono" w:eastAsia="Liberation Mono"/>
                <w:color w:val="000000"/>
                <w:sz w:val="16"/>
              </w:rPr>
              <w:t>| where InitiatingProcessFileName in~ ("chrome.exe","msedge.exe","outlook.exe","teams.exe","winword.exe","excel.exe")</w:t>
            </w:r>
          </w:p>
          <w:p>
            <w:pPr>
              <w:spacing w:before="0" w:after="0"/>
              <w:ind w:left="0"/>
            </w:pPr>
            <w:r/>
            <w:r>
              <w:rPr>
                <w:rFonts w:ascii="Liberation Mono" w:hAnsi="Liberation Mono" w:eastAsia="Liberation Mono"/>
                <w:color w:val="000000"/>
                <w:sz w:val="16"/>
              </w:rPr>
              <w:t>| summarize Events=count(), Commands=make_set(ProcessCommandLine, 20) by DeviceName, FileName, InitiatingProcessFileName, AccountName</w:t>
            </w:r>
          </w:p>
          <w:p>
            <w:pPr>
              <w:spacing w:before="0" w:after="0"/>
              <w:ind w:left="0"/>
            </w:pPr>
            <w:r/>
            <w:r>
              <w:rPr>
                <w:rFonts w:ascii="Liberation Mono" w:hAnsi="Liberation Mono" w:eastAsia="Liberation Mono"/>
                <w:color w:val="000000"/>
                <w:sz w:val="16"/>
              </w:rPr>
              <w:t>| order by Events desc</w:t>
            </w:r>
          </w:p>
        </w:tc>
      </w:tr>
    </w:tbl>
    <w:tbl>
      <w:tblPr>
        <w:tblW w:type="auto" w:w="0"/>
        <w:jc w:val="left"/>
        <w:tblLook w:firstColumn="1" w:firstRow="1" w:lastColumn="0" w:lastRow="0" w:noHBand="0" w:noVBand="1" w:val="04A0"/>
      </w:tblPr>
      <w:tblGrid>
        <w:gridCol w:w="10166"/>
      </w:tblGrid>
      <w:tr>
        <w:tc>
          <w:tcPr>
            <w:tcW w:type="dxa" w:w="10166"/>
            <w:shd w:fill="F3F6F8"/>
            <w:tcBorders>
              <w:top w:val="single" w:sz="6" w:color="75A9CF"/>
              <w:left w:val="single" w:sz="6" w:color="75A9CF"/>
              <w:bottom w:val="single" w:sz="6" w:color="75A9CF"/>
              <w:right w:val="single" w:sz="6" w:color="75A9CF"/>
            </w:tcBorders>
          </w:tcPr>
          <w:p>
            <w:pPr>
              <w:spacing w:before="0" w:after="0"/>
              <w:ind w:left="0"/>
            </w:pPr>
            <w:r/>
            <w:r>
              <w:rPr>
                <w:rFonts w:ascii="Liberation Mono" w:hAnsi="Liberation Mono" w:eastAsia="Liberation Mono"/>
                <w:color w:val="000000"/>
                <w:sz w:val="16"/>
              </w:rPr>
              <w:t>DeviceNetworkEvents</w:t>
            </w:r>
          </w:p>
          <w:p>
            <w:pPr>
              <w:spacing w:before="0" w:after="0"/>
              <w:ind w:left="0"/>
            </w:pPr>
            <w:r/>
            <w:r>
              <w:rPr>
                <w:rFonts w:ascii="Liberation Mono" w:hAnsi="Liberation Mono" w:eastAsia="Liberation Mono"/>
                <w:color w:val="000000"/>
                <w:sz w:val="16"/>
              </w:rPr>
              <w:t>| where Timestamp &gt; ago(14d)</w:t>
            </w:r>
          </w:p>
          <w:p>
            <w:pPr>
              <w:spacing w:before="0" w:after="0"/>
              <w:ind w:left="0"/>
            </w:pPr>
            <w:r/>
            <w:r>
              <w:rPr>
                <w:rFonts w:ascii="Liberation Mono" w:hAnsi="Liberation Mono" w:eastAsia="Liberation Mono"/>
                <w:color w:val="000000"/>
                <w:sz w:val="16"/>
              </w:rPr>
              <w:t>| where InitiatingProcessFileName in~ ('powershell.exe','cmd.exe','wscript.exe','cscript.exe','rundll32.exe','python.exe','node.exe')</w:t>
            </w:r>
          </w:p>
          <w:p>
            <w:pPr>
              <w:spacing w:before="0" w:after="0"/>
              <w:ind w:left="0"/>
            </w:pPr>
            <w:r/>
            <w:r>
              <w:rPr>
                <w:rFonts w:ascii="Liberation Mono" w:hAnsi="Liberation Mono" w:eastAsia="Liberation Mono"/>
                <w:color w:val="000000"/>
                <w:sz w:val="16"/>
              </w:rPr>
              <w:t>| summarize Connections=count(), RemoteIPs=dcount(RemoteIP), RemoteUrls=make_set(RemoteUrl, 20) by DeviceName, InitiatingProcessFileName, InitiatingProcessCommandLine</w:t>
            </w:r>
          </w:p>
          <w:p>
            <w:pPr>
              <w:spacing w:before="0" w:after="0"/>
              <w:ind w:left="0"/>
            </w:pPr>
            <w:r/>
            <w:r>
              <w:rPr>
                <w:rFonts w:ascii="Liberation Mono" w:hAnsi="Liberation Mono" w:eastAsia="Liberation Mono"/>
                <w:color w:val="000000"/>
                <w:sz w:val="16"/>
              </w:rPr>
              <w:t>| order by Connections desc</w:t>
            </w:r>
          </w:p>
        </w:tc>
      </w:tr>
    </w:tbl>
    <w:p>
      <w:pPr>
        <w:pStyle w:val="Heading2"/>
        <w:spacing w:after="120" w:before="120"/>
        <w:jc w:val="left"/>
      </w:pPr>
      <w:r>
        <w:rPr>
          <w:rFonts w:ascii="Liberation Serif" w:hAnsi="Liberation Serif" w:eastAsia="Liberation Serif"/>
          <w:b/>
          <w:i w:val="0"/>
          <w:color w:val="123D63"/>
          <w:sz w:val="26"/>
        </w:rPr>
        <w:t>10. Threat Hunting</w:t>
      </w:r>
    </w:p>
    <w:p>
      <w:pPr>
        <w:pStyle w:val="Heading3"/>
        <w:spacing w:after="80" w:before="80"/>
        <w:jc w:val="left"/>
      </w:pPr>
      <w:r>
        <w:rPr>
          <w:rFonts w:ascii="Liberation Serif" w:hAnsi="Liberation Serif" w:eastAsia="Liberation Serif"/>
          <w:b/>
          <w:i w:val="0"/>
          <w:color w:val="000000"/>
          <w:sz w:val="22"/>
        </w:rPr>
        <w:t>10.1. Hunt Hypotheses</w:t>
      </w:r>
    </w:p>
    <w:tbl>
      <w:tblPr>
        <w:tblW w:type="auto" w:w="0"/>
        <w:jc w:val="left"/>
        <w:tblLayout w:type="autofit"/>
        <w:tblLook w:firstColumn="1" w:firstRow="1" w:lastColumn="0" w:lastRow="0" w:noHBand="0" w:noVBand="1" w:val="04A0"/>
      </w:tblPr>
      <w:tblGrid>
        <w:gridCol w:w="5083"/>
        <w:gridCol w:w="5083"/>
      </w:tblGrid>
      <w:tr>
        <w:tc>
          <w:tcPr>
            <w:tcW w:type="dxa" w:w="5083"/>
            <w:vAlign w:val="center"/>
            <w:shd w:fill="EAF4FB"/>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color w:val="123D63"/>
                <w:sz w:val="18"/>
              </w:rPr>
              <w:t>Hypothesis</w:t>
            </w:r>
          </w:p>
        </w:tc>
        <w:tc>
          <w:tcPr>
            <w:tcW w:type="dxa" w:w="5083"/>
            <w:vAlign w:val="center"/>
            <w:shd w:fill="EAF4FB"/>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color w:val="123D63"/>
                <w:sz w:val="18"/>
              </w:rPr>
              <w:t>Query Focus</w:t>
            </w:r>
          </w:p>
        </w:tc>
      </w:tr>
      <w:tr>
        <w:tc>
          <w:tcPr>
            <w:tcW w:type="dxa" w:w="5083"/>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Initial lure resulted in script or LOLBin execution</w:t>
            </w:r>
          </w:p>
        </w:tc>
        <w:tc>
          <w:tcPr>
            <w:tcW w:type="dxa" w:w="5083"/>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Process lineage from browsers, Office, chat, or email clients.</w:t>
            </w:r>
          </w:p>
        </w:tc>
      </w:tr>
      <w:tr>
        <w:tc>
          <w:tcPr>
            <w:tcW w:type="dxa" w:w="5083"/>
            <w:vAlign w:val="center"/>
            <w:shd w:fill="F3F6F8"/>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Payload staging used commodity infrastructure</w:t>
            </w:r>
          </w:p>
        </w:tc>
        <w:tc>
          <w:tcPr>
            <w:tcW w:type="dxa" w:w="5083"/>
            <w:vAlign w:val="center"/>
            <w:shd w:fill="F3F6F8"/>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New domains, direct-IP connections, unusual ASNs, or short-lived hosts.</w:t>
            </w:r>
          </w:p>
        </w:tc>
      </w:tr>
      <w:tr>
        <w:tc>
          <w:tcPr>
            <w:tcW w:type="dxa" w:w="5083"/>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Identity compromise followed social engineering</w:t>
            </w:r>
          </w:p>
        </w:tc>
        <w:tc>
          <w:tcPr>
            <w:tcW w:type="dxa" w:w="5083"/>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OAuth grants, device-code flow, MFA changes, impossible travel, and risky sign-ins.</w:t>
            </w:r>
          </w:p>
        </w:tc>
      </w:tr>
    </w:tbl>
    <w:tbl>
      <w:tblPr>
        <w:tblW w:type="auto" w:w="0"/>
        <w:jc w:val="left"/>
        <w:tblLook w:firstColumn="1" w:firstRow="1" w:lastColumn="0" w:lastRow="0" w:noHBand="0" w:noVBand="1" w:val="04A0"/>
      </w:tblPr>
      <w:tblGrid>
        <w:gridCol w:w="10166"/>
      </w:tblGrid>
      <w:tr>
        <w:tc>
          <w:tcPr>
            <w:tcW w:type="dxa" w:w="10166"/>
            <w:shd w:fill="F3F6F8"/>
            <w:tcBorders>
              <w:top w:val="single" w:sz="6" w:color="75A9CF"/>
              <w:left w:val="single" w:sz="6" w:color="75A9CF"/>
              <w:bottom w:val="single" w:sz="6" w:color="75A9CF"/>
              <w:right w:val="single" w:sz="6" w:color="75A9CF"/>
            </w:tcBorders>
          </w:tcPr>
          <w:p>
            <w:pPr>
              <w:spacing w:before="0" w:after="0"/>
              <w:ind w:left="0"/>
            </w:pPr>
            <w:r/>
            <w:r>
              <w:rPr>
                <w:rFonts w:ascii="Liberation Mono" w:hAnsi="Liberation Mono" w:eastAsia="Liberation Mono"/>
                <w:color w:val="000000"/>
                <w:sz w:val="16"/>
              </w:rPr>
              <w:t>SigninLogs</w:t>
            </w:r>
          </w:p>
          <w:p>
            <w:pPr>
              <w:spacing w:before="0" w:after="0"/>
              <w:ind w:left="0"/>
            </w:pPr>
            <w:r/>
            <w:r>
              <w:rPr>
                <w:rFonts w:ascii="Liberation Mono" w:hAnsi="Liberation Mono" w:eastAsia="Liberation Mono"/>
                <w:color w:val="000000"/>
                <w:sz w:val="16"/>
              </w:rPr>
              <w:t>| where TimeGenerated &gt; ago(14d)</w:t>
            </w:r>
          </w:p>
          <w:p>
            <w:pPr>
              <w:spacing w:before="0" w:after="0"/>
              <w:ind w:left="0"/>
            </w:pPr>
            <w:r/>
            <w:r>
              <w:rPr>
                <w:rFonts w:ascii="Liberation Mono" w:hAnsi="Liberation Mono" w:eastAsia="Liberation Mono"/>
                <w:color w:val="000000"/>
                <w:sz w:val="16"/>
              </w:rPr>
              <w:t>| where ResultType != 0 or RiskLevelDuringSignIn in ("medium","high")</w:t>
            </w:r>
          </w:p>
          <w:p>
            <w:pPr>
              <w:spacing w:before="0" w:after="0"/>
              <w:ind w:left="0"/>
            </w:pPr>
            <w:r/>
            <w:r>
              <w:rPr>
                <w:rFonts w:ascii="Liberation Mono" w:hAnsi="Liberation Mono" w:eastAsia="Liberation Mono"/>
                <w:color w:val="000000"/>
                <w:sz w:val="16"/>
              </w:rPr>
              <w:t>| summarize Signins=count(), Apps=make_set(AppDisplayName, 20), IPs=make_set(IPAddress, 20) by UserPrincipalName, RiskLevelDuringSignIn</w:t>
            </w:r>
          </w:p>
          <w:p>
            <w:pPr>
              <w:spacing w:before="0" w:after="0"/>
              <w:ind w:left="0"/>
            </w:pPr>
            <w:r/>
            <w:r>
              <w:rPr>
                <w:rFonts w:ascii="Liberation Mono" w:hAnsi="Liberation Mono" w:eastAsia="Liberation Mono"/>
                <w:color w:val="000000"/>
                <w:sz w:val="16"/>
              </w:rPr>
              <w:t>| order by Signins desc</w:t>
            </w:r>
          </w:p>
        </w:tc>
      </w:tr>
    </w:tbl>
    <w:p>
      <w:pPr>
        <w:pStyle w:val="Heading2"/>
        <w:spacing w:after="120" w:before="120"/>
        <w:jc w:val="left"/>
      </w:pPr>
      <w:r>
        <w:rPr>
          <w:rFonts w:ascii="Liberation Serif" w:hAnsi="Liberation Serif" w:eastAsia="Liberation Serif"/>
          <w:b/>
          <w:i w:val="0"/>
          <w:color w:val="123D63"/>
          <w:sz w:val="26"/>
        </w:rPr>
        <w:t>11. Risk Assessment</w:t>
      </w:r>
    </w:p>
    <w:tbl>
      <w:tblPr>
        <w:tblW w:type="auto" w:w="0"/>
        <w:jc w:val="left"/>
        <w:tblLayout w:type="autofit"/>
        <w:tblLook w:firstColumn="1" w:firstRow="1" w:lastColumn="0" w:lastRow="0" w:noHBand="0" w:noVBand="1" w:val="04A0"/>
      </w:tblPr>
      <w:tblGrid>
        <w:gridCol w:w="3389"/>
        <w:gridCol w:w="3389"/>
        <w:gridCol w:w="3389"/>
      </w:tblGrid>
      <w:tr>
        <w:tc>
          <w:tcPr>
            <w:tcW w:type="dxa" w:w="3389"/>
            <w:vAlign w:val="center"/>
            <w:shd w:fill="EAF4FB"/>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color w:val="123D63"/>
                <w:sz w:val="18"/>
              </w:rPr>
              <w:t>Dimension</w:t>
            </w:r>
          </w:p>
        </w:tc>
        <w:tc>
          <w:tcPr>
            <w:tcW w:type="dxa" w:w="3389"/>
            <w:vAlign w:val="center"/>
            <w:shd w:fill="EAF4FB"/>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color w:val="123D63"/>
                <w:sz w:val="18"/>
              </w:rPr>
              <w:t>Assessment</w:t>
            </w:r>
          </w:p>
        </w:tc>
        <w:tc>
          <w:tcPr>
            <w:tcW w:type="dxa" w:w="3389"/>
            <w:vAlign w:val="center"/>
            <w:shd w:fill="EAF4FB"/>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color w:val="123D63"/>
                <w:sz w:val="18"/>
              </w:rPr>
              <w:t>Rationale</w:t>
            </w:r>
          </w:p>
        </w:tc>
      </w:tr>
      <w:tr>
        <w:tc>
          <w:tcPr>
            <w:tcW w:type="dxa" w:w="3389"/>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Likelihood</w:t>
            </w:r>
          </w:p>
        </w:tc>
        <w:tc>
          <w:tcPr>
            <w:tcW w:type="dxa" w:w="3389"/>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Medium to High</w:t>
            </w:r>
          </w:p>
        </w:tc>
        <w:tc>
          <w:tcPr>
            <w:tcW w:type="dxa" w:w="3389"/>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Current public reporting and commodity reuse make exposure plausible.</w:t>
            </w:r>
          </w:p>
        </w:tc>
      </w:tr>
      <w:tr>
        <w:tc>
          <w:tcPr>
            <w:tcW w:type="dxa" w:w="3389"/>
            <w:vAlign w:val="center"/>
            <w:shd w:fill="F3F6F8"/>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Impact</w:t>
            </w:r>
          </w:p>
        </w:tc>
        <w:tc>
          <w:tcPr>
            <w:tcW w:type="dxa" w:w="3389"/>
            <w:vAlign w:val="center"/>
            <w:shd w:fill="F3F6F8"/>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Medium to High</w:t>
            </w:r>
          </w:p>
        </w:tc>
        <w:tc>
          <w:tcPr>
            <w:tcW w:type="dxa" w:w="3389"/>
            <w:vAlign w:val="center"/>
            <w:shd w:fill="F3F6F8"/>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Identity compromise, malware staging, or sector disruption can create business impact.</w:t>
            </w:r>
          </w:p>
        </w:tc>
      </w:tr>
      <w:tr>
        <w:tc>
          <w:tcPr>
            <w:tcW w:type="dxa" w:w="3389"/>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Detection Difficulty</w:t>
            </w:r>
          </w:p>
        </w:tc>
        <w:tc>
          <w:tcPr>
            <w:tcW w:type="dxa" w:w="3389"/>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Medium</w:t>
            </w:r>
          </w:p>
        </w:tc>
        <w:tc>
          <w:tcPr>
            <w:tcW w:type="dxa" w:w="3389"/>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Behavioral telemetry is available, but atomic indicators may be sparse.</w:t>
            </w:r>
          </w:p>
        </w:tc>
      </w:tr>
    </w:tbl>
    <w:p>
      <w:pPr>
        <w:pStyle w:val="Heading2"/>
        <w:spacing w:after="120" w:before="120"/>
        <w:jc w:val="left"/>
      </w:pPr>
      <w:r>
        <w:rPr>
          <w:rFonts w:ascii="Liberation Serif" w:hAnsi="Liberation Serif" w:eastAsia="Liberation Serif"/>
          <w:b/>
          <w:i w:val="0"/>
          <w:color w:val="123D63"/>
          <w:sz w:val="26"/>
        </w:rPr>
        <w:t>12. Recommended Actions</w:t>
      </w:r>
    </w:p>
    <w:p>
      <w:pPr>
        <w:pStyle w:val="ListNumber"/>
        <w:spacing w:after="40" w:before="0"/>
        <w:jc w:val="left"/>
      </w:pPr>
      <w:r>
        <w:rPr>
          <w:rFonts w:ascii="Liberation Serif" w:hAnsi="Liberation Serif" w:eastAsia="Liberation Serif"/>
          <w:b w:val="0"/>
          <w:i w:val="0"/>
          <w:color w:val="000000"/>
          <w:sz w:val="20"/>
        </w:rPr>
        <w:t>Brief SOC and identity teams on the source-backed behaviors.</w:t>
      </w:r>
    </w:p>
    <w:p>
      <w:pPr>
        <w:pStyle w:val="ListNumber"/>
        <w:spacing w:after="40" w:before="0"/>
        <w:jc w:val="left"/>
      </w:pPr>
      <w:r>
        <w:rPr>
          <w:rFonts w:ascii="Liberation Serif" w:hAnsi="Liberation Serif" w:eastAsia="Liberation Serif"/>
          <w:b w:val="0"/>
          <w:i w:val="0"/>
          <w:color w:val="000000"/>
          <w:sz w:val="20"/>
        </w:rPr>
        <w:t>Run the included process/network/identity hunts for 14-30 days of telemetry.</w:t>
      </w:r>
    </w:p>
    <w:p>
      <w:pPr>
        <w:pStyle w:val="ListNumber"/>
        <w:spacing w:after="40" w:before="0"/>
        <w:jc w:val="left"/>
      </w:pPr>
      <w:r>
        <w:rPr>
          <w:rFonts w:ascii="Liberation Serif" w:hAnsi="Liberation Serif" w:eastAsia="Liberation Serif"/>
          <w:b w:val="0"/>
          <w:i w:val="0"/>
          <w:color w:val="000000"/>
          <w:sz w:val="20"/>
        </w:rPr>
        <w:t>Review exposed third-party and remote-access paths tied to the affected workflow.</w:t>
      </w:r>
    </w:p>
    <w:p>
      <w:pPr>
        <w:pStyle w:val="ListNumber"/>
        <w:spacing w:after="40" w:before="0"/>
        <w:jc w:val="left"/>
      </w:pPr>
      <w:r>
        <w:rPr>
          <w:rFonts w:ascii="Liberation Serif" w:hAnsi="Liberation Serif" w:eastAsia="Liberation Serif"/>
          <w:b w:val="0"/>
          <w:i w:val="0"/>
          <w:color w:val="000000"/>
          <w:sz w:val="20"/>
        </w:rPr>
        <w:t>Convert confirmed local hits into case-specific IOCs and containment tasks.</w:t>
      </w:r>
    </w:p>
    <w:p>
      <w:pPr>
        <w:pStyle w:val="Heading2"/>
        <w:spacing w:after="120" w:before="120"/>
        <w:jc w:val="left"/>
      </w:pPr>
      <w:r>
        <w:rPr>
          <w:rFonts w:ascii="Liberation Serif" w:hAnsi="Liberation Serif" w:eastAsia="Liberation Serif"/>
          <w:b/>
          <w:i w:val="0"/>
          <w:color w:val="123D63"/>
          <w:sz w:val="26"/>
        </w:rPr>
        <w:t>13. References</w:t>
      </w:r>
    </w:p>
    <w:p>
      <w:pPr>
        <w:pStyle w:val="ListBullet"/>
        <w:spacing w:after="40" w:before="0"/>
        <w:jc w:val="left"/>
      </w:pPr>
      <w:r>
        <w:rPr>
          <w:rFonts w:ascii="Liberation Serif" w:hAnsi="Liberation Serif" w:eastAsia="Liberation Serif"/>
          <w:b w:val="0"/>
          <w:i w:val="0"/>
          <w:color w:val="000000"/>
          <w:sz w:val="20"/>
        </w:rPr>
        <w:t>[1] CybersecureFox Collins/VMUSE coverage: https://cybersecurefox.com/en/collins-aerospace-vmuse-cyberattack-european-airport-check-in/</w:t>
      </w:r>
    </w:p>
    <w:p>
      <w:pPr>
        <w:pStyle w:val="ListBullet"/>
        <w:spacing w:after="40" w:before="0"/>
        <w:jc w:val="left"/>
      </w:pPr>
      <w:r>
        <w:rPr>
          <w:rFonts w:ascii="Liberation Serif" w:hAnsi="Liberation Serif" w:eastAsia="Liberation Serif"/>
          <w:b w:val="0"/>
          <w:i w:val="0"/>
          <w:color w:val="000000"/>
          <w:sz w:val="20"/>
        </w:rPr>
        <w:t>[2] Relianoid MUSE analysis: https://www.relianoid.com/blog/from-chaos-to-resilience-the-collins-aerospace-muse-cyberattack/</w:t>
      </w:r>
    </w:p>
    <w:p>
      <w:pPr>
        <w:pStyle w:val="ListBullet"/>
        <w:spacing w:after="40" w:before="0"/>
        <w:jc w:val="left"/>
      </w:pPr>
      <w:r>
        <w:rPr>
          <w:rFonts w:ascii="Liberation Serif" w:hAnsi="Liberation Serif" w:eastAsia="Liberation Serif"/>
          <w:b w:val="0"/>
          <w:i w:val="0"/>
          <w:color w:val="000000"/>
          <w:sz w:val="20"/>
        </w:rPr>
        <w:t>[3] AIQ CUPPS overview: https://www.aiqconsulting.com/aiq-news/the-benefits-of-cupps-common-use-passenger-processing-systems-for-airports/</w:t>
      </w:r>
    </w:p>
    <w:sectPr w:rsidR="00FC693F" w:rsidRPr="0006063C" w:rsidSect="00034616">
      <w:pgSz w:w="12240" w:h="15840"/>
      <w:pgMar w:top="1037" w:right="1037" w:bottom="1037"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fldChar w:fldCharType="begin"/>
      <w:instrText xml:space="preserve"> PAGE </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Liberation Serif" w:hAnsi="Liberation Serif" w:eastAsia="Liberation Serif"/>
        <w:sz w:val="18"/>
      </w:rPr>
    </w:r>
    <w:r>
      <w:rPr>
        <w:rFonts w:ascii="Liberation Serif" w:hAnsi="Liberation Serif" w:eastAsia="Liberation Serif"/>
        <w:sz w:val="18"/>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
      <w:rPr>
        <w:rFonts w:ascii="Liberation Serif" w:hAnsi="Liberation Serif" w:eastAsia="Liberation Serif"/>
        <w:color w:val="123D63"/>
        <w:sz w:val="18"/>
      </w:rPr>
      <w:t>TLP:CLEAR | Lost Boys Cyber | Airport CUPPS/CUTE Cyber Risk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 Id="rId11" Type="http://schemas.openxmlformats.org/officeDocument/2006/relationships/header" Target="header1.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