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drawing>
          <wp:inline xmlns:a="http://schemas.openxmlformats.org/drawingml/2006/main" xmlns:pic="http://schemas.openxmlformats.org/drawingml/2006/picture">
            <wp:extent cx="4480560" cy="1458071"/>
            <wp:docPr id="1" name="Picture 1"/>
            <wp:cNvGraphicFramePr>
              <a:graphicFrameLocks noChangeAspect="1"/>
            </wp:cNvGraphicFramePr>
            <a:graphic>
              <a:graphicData uri="http://schemas.openxmlformats.org/drawingml/2006/picture">
                <pic:pic>
                  <pic:nvPicPr>
                    <pic:cNvPr id="0" name="lost-boys-cyber-logo-titlepage.png"/>
                    <pic:cNvPicPr/>
                  </pic:nvPicPr>
                  <pic:blipFill>
                    <a:blip r:embed="rId9"/>
                    <a:stretch>
                      <a:fillRect/>
                    </a:stretch>
                  </pic:blipFill>
                  <pic:spPr>
                    <a:xfrm>
                      <a:off x="0" y="0"/>
                      <a:ext cx="4480560" cy="1458071"/>
                    </a:xfrm>
                    <a:prstGeom prst="rect"/>
                  </pic:spPr>
                </pic:pic>
              </a:graphicData>
            </a:graphic>
          </wp:inline>
        </w:drawing>
      </w:r>
    </w:p>
    <w:p>
      <w:pPr>
        <w:spacing w:after="2600"/>
      </w:pPr>
    </w:p>
    <w:p>
      <w:pPr>
        <w:spacing w:after="120" w:before="0"/>
        <w:jc w:val="left"/>
      </w:pPr>
      <w:r>
        <w:rPr>
          <w:rFonts w:ascii="Liberation Serif" w:hAnsi="Liberation Serif" w:eastAsia="Liberation Serif"/>
          <w:b/>
          <w:i w:val="0"/>
          <w:color w:val="123D63"/>
          <w:sz w:val="32"/>
        </w:rPr>
        <w:t>Airline Loyalty Reservation and Identity Abuse Aviation Daily Threat Update</w:t>
      </w:r>
    </w:p>
    <w:p>
      <w:pPr>
        <w:spacing w:after="200" w:before="0"/>
        <w:jc w:val="left"/>
      </w:pPr>
      <w:r>
        <w:rPr>
          <w:rFonts w:ascii="Liberation Serif" w:hAnsi="Liberation Serif" w:eastAsia="Liberation Serif"/>
          <w:b w:val="0"/>
          <w:i w:val="0"/>
          <w:color w:val="000000"/>
          <w:sz w:val="20"/>
        </w:rPr>
        <w:t>Threat Report</w:t>
      </w:r>
    </w:p>
    <w:tbl>
      <w:tblPr>
        <w:tblW w:type="auto" w:w="0"/>
        <w:jc w:val="left"/>
        <w:tblLayout w:type="fixed"/>
        <w:tblLook w:firstColumn="1" w:firstRow="1" w:lastColumn="0" w:lastRow="0" w:noHBand="0" w:noVBand="1" w:val="04A0"/>
      </w:tblPr>
      <w:tblGrid>
        <w:gridCol w:w="5083"/>
        <w:gridCol w:w="5083"/>
      </w:tblGrid>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Classification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TLP:CLEAR</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Published</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2026-08-29</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Version</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1.0</w:t>
            </w:r>
          </w:p>
        </w:tc>
      </w:tr>
      <w:tr>
        <w:tc>
          <w:tcPr>
            <w:tcW w:type="dxa" w:w="2232"/>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Author</w:t>
            </w:r>
          </w:p>
        </w:tc>
        <w:tc>
          <w:tcPr>
            <w:tcW w:type="dxa" w:w="7128"/>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Lost Boys Cyber</w:t>
            </w:r>
          </w:p>
        </w:tc>
      </w:tr>
      <w:tr>
        <w:tc>
          <w:tcPr>
            <w:tcW w:type="dxa" w:w="2232"/>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20"/>
              </w:rPr>
              <w:t>Report Type</w:t>
            </w:r>
          </w:p>
        </w:tc>
        <w:tc>
          <w:tcPr>
            <w:tcW w:type="dxa" w:w="7128"/>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20"/>
              </w:rPr>
              <w:t>Threat Report</w:t>
            </w:r>
          </w:p>
        </w:tc>
      </w:tr>
    </w:tbl>
    <w:p/>
    <w:p>
      <w:pPr>
        <w:spacing w:after="40" w:before="0"/>
        <w:jc w:val="left"/>
      </w:pPr>
      <w:r>
        <w:rPr>
          <w:rFonts w:ascii="Liberation Serif" w:hAnsi="Liberation Serif" w:eastAsia="Liberation Serif"/>
          <w:b w:val="0"/>
          <w:i w:val="0"/>
          <w:color w:val="123D63"/>
          <w:sz w:val="18"/>
        </w:rPr>
        <w:t>TLP:CLEAR | Lost Boys Cyber | Airline Loyalty Reservation and Identity Abuse Aviation Daily Threat Update - Threat Report</w:t>
      </w:r>
    </w:p>
    <w:p>
      <w:pPr>
        <w:spacing w:after="200" w:before="0"/>
        <w:jc w:val="left"/>
      </w:pPr>
      <w:r>
        <w:rPr>
          <w:rFonts w:ascii="Liberation Serif" w:hAnsi="Liberation Serif" w:eastAsia="Liberation Serif"/>
          <w:b w:val="0"/>
          <w:i w:val="0"/>
          <w:color w:val="000000"/>
          <w:sz w:val="18"/>
        </w:rPr>
        <w:t>Published: 2026-08-29 | TLP:CLEAR | Version: 1.0 | Author: Lost Boys Cyber</w:t>
      </w:r>
    </w:p>
    <w:tbl>
      <w:tblPr>
        <w:tblW w:type="auto" w:w="0"/>
        <w:jc w:val="left"/>
        <w:tblLayout w:type="fixed"/>
        <w:tblLook w:firstColumn="1" w:firstRow="1" w:lastColumn="0" w:lastRow="0" w:noHBand="0" w:noVBand="1" w:val="04A0"/>
      </w:tblPr>
      <w:tblGrid>
        <w:gridCol w:w="10166"/>
      </w:tblGrid>
      <w:tr>
        <w:tc>
          <w:tcPr>
            <w:tcW w:type="dxa" w:w="10166"/>
            <w:vAlign w:val="center"/>
            <w:shd w:fill="EAF4FB"/>
            <w:tcBorders>
              <w:top w:val="single" w:sz="8" w:color="75A9CF"/>
              <w:left w:val="single" w:sz="8" w:color="75A9CF"/>
              <w:bottom w:val="single" w:sz="8" w:color="75A9CF"/>
              <w:right w:val="single" w:sz="8" w:color="75A9CF"/>
            </w:tcBorders>
          </w:tcPr>
          <w:p>
            <w:pPr>
              <w:jc w:val="left"/>
            </w:pPr>
            <w:r/>
            <w:r>
              <w:rPr>
                <w:rFonts w:ascii="Liberation Serif" w:hAnsi="Liberation Serif" w:eastAsia="Liberation Serif"/>
                <w:b w:val="0"/>
                <w:color w:val="000000"/>
                <w:sz w:val="18"/>
              </w:rPr>
              <w:t>AI Generation: This report was generated with AI assistance and is provided for informational purposes only. All findings, IOCs, detection rules, hunting queries, attribution assessments, and recommendations must be independently reviewed and validated by a qualified security professional before operational use.</w:t>
            </w:r>
          </w:p>
        </w:tc>
      </w:tr>
    </w:tbl>
    <w:p>
      <w:r>
        <w:br w:type="page"/>
      </w:r>
    </w:p>
    <w:p>
      <w:pPr>
        <w:sectPr>
          <w:footerReference w:type="default" r:id="rId10"/>
          <w:pgSz w:w="12240" w:h="15840"/>
          <w:pgMar w:top="1037" w:right="1037" w:bottom="1037" w:left="1037" w:header="720" w:footer="720" w:gutter="0"/>
          <w:cols w:space="720"/>
          <w:docGrid w:linePitch="360"/>
        </w:sectPr>
      </w:pPr>
    </w:p>
    <w:p>
      <w:pPr>
        <w:spacing w:after="240" w:before="0"/>
        <w:jc w:val="left"/>
      </w:pPr>
      <w:r>
        <w:rPr>
          <w:rFonts w:ascii="Liberation Serif" w:hAnsi="Liberation Serif" w:eastAsia="Liberation Serif"/>
          <w:b/>
          <w:i w:val="0"/>
          <w:color w:val="123D63"/>
          <w:sz w:val="28"/>
        </w:rPr>
        <w:t>Table of Contents</w:t>
      </w:r>
    </w:p>
    <w:p>
      <w:pPr>
        <w:spacing w:after="80" w:before="0"/>
        <w:ind w:left="0"/>
        <w:jc w:val="left"/>
      </w:pPr>
      <w:r>
        <w:rPr>
          <w:rFonts w:ascii="Liberation Serif" w:hAnsi="Liberation Serif" w:eastAsia="Liberation Serif"/>
          <w:b w:val="0"/>
          <w:i w:val="0"/>
          <w:color w:val="000000"/>
          <w:sz w:val="20"/>
        </w:rPr>
        <w:t>1. Executive Summary</w:t>
      </w:r>
    </w:p>
    <w:p>
      <w:pPr>
        <w:spacing w:after="80" w:before="0"/>
        <w:ind w:left="0"/>
        <w:jc w:val="left"/>
      </w:pPr>
      <w:r>
        <w:rPr>
          <w:rFonts w:ascii="Liberation Serif" w:hAnsi="Liberation Serif" w:eastAsia="Liberation Serif"/>
          <w:b w:val="0"/>
          <w:i w:val="0"/>
          <w:color w:val="000000"/>
          <w:sz w:val="20"/>
        </w:rPr>
        <w:t>2. Intelligence Requirements</w:t>
      </w:r>
    </w:p>
    <w:p>
      <w:pPr>
        <w:spacing w:after="80" w:before="0"/>
        <w:ind w:left="0"/>
        <w:jc w:val="left"/>
      </w:pPr>
      <w:r>
        <w:rPr>
          <w:rFonts w:ascii="Liberation Serif" w:hAnsi="Liberation Serif" w:eastAsia="Liberation Serif"/>
          <w:b w:val="0"/>
          <w:i w:val="0"/>
          <w:color w:val="000000"/>
          <w:sz w:val="20"/>
        </w:rPr>
        <w:t>3. Source Review &amp; Confidence</w:t>
      </w:r>
    </w:p>
    <w:p>
      <w:pPr>
        <w:spacing w:after="80" w:before="0"/>
        <w:ind w:left="0"/>
        <w:jc w:val="left"/>
      </w:pPr>
      <w:r>
        <w:rPr>
          <w:rFonts w:ascii="Liberation Serif" w:hAnsi="Liberation Serif" w:eastAsia="Liberation Serif"/>
          <w:b w:val="0"/>
          <w:i w:val="0"/>
          <w:color w:val="000000"/>
          <w:sz w:val="20"/>
        </w:rPr>
        <w:t>4. Threat Activity Overview</w:t>
      </w:r>
    </w:p>
    <w:p>
      <w:pPr>
        <w:spacing w:after="80" w:before="0"/>
        <w:ind w:left="0"/>
        <w:jc w:val="left"/>
      </w:pPr>
      <w:r>
        <w:rPr>
          <w:rFonts w:ascii="Liberation Serif" w:hAnsi="Liberation Serif" w:eastAsia="Liberation Serif"/>
          <w:b w:val="0"/>
          <w:i w:val="0"/>
          <w:color w:val="000000"/>
          <w:sz w:val="20"/>
        </w:rPr>
        <w:t>5. Affected Sectors and Exposure</w:t>
      </w:r>
    </w:p>
    <w:p>
      <w:pPr>
        <w:spacing w:after="80" w:before="0"/>
        <w:ind w:left="0"/>
        <w:jc w:val="left"/>
      </w:pPr>
      <w:r>
        <w:rPr>
          <w:rFonts w:ascii="Liberation Serif" w:hAnsi="Liberation Serif" w:eastAsia="Liberation Serif"/>
          <w:b w:val="0"/>
          <w:i w:val="0"/>
          <w:color w:val="000000"/>
          <w:sz w:val="20"/>
        </w:rPr>
        <w:t>6. Aviation / Aerospace Sector Impact</w:t>
      </w:r>
    </w:p>
    <w:p>
      <w:pPr>
        <w:spacing w:after="80" w:before="0"/>
        <w:ind w:left="0"/>
        <w:jc w:val="left"/>
      </w:pPr>
      <w:r>
        <w:rPr>
          <w:rFonts w:ascii="Liberation Serif" w:hAnsi="Liberation Serif" w:eastAsia="Liberation Serif"/>
          <w:b w:val="0"/>
          <w:i w:val="0"/>
          <w:color w:val="000000"/>
          <w:sz w:val="20"/>
        </w:rPr>
        <w:t>7. Tactics, Techniques, and Procedures</w:t>
      </w:r>
    </w:p>
    <w:p>
      <w:pPr>
        <w:spacing w:after="80" w:before="0"/>
        <w:ind w:left="0"/>
        <w:jc w:val="left"/>
      </w:pPr>
      <w:r>
        <w:rPr>
          <w:rFonts w:ascii="Liberation Serif" w:hAnsi="Liberation Serif" w:eastAsia="Liberation Serif"/>
          <w:b w:val="0"/>
          <w:i w:val="0"/>
          <w:color w:val="000000"/>
          <w:sz w:val="20"/>
        </w:rPr>
        <w:t>8. Infrastructure and Indicators</w:t>
      </w:r>
    </w:p>
    <w:p>
      <w:pPr>
        <w:spacing w:after="80" w:before="0"/>
        <w:ind w:left="0"/>
        <w:jc w:val="left"/>
      </w:pPr>
      <w:r>
        <w:rPr>
          <w:rFonts w:ascii="Liberation Serif" w:hAnsi="Liberation Serif" w:eastAsia="Liberation Serif"/>
          <w:b w:val="0"/>
          <w:i w:val="0"/>
          <w:color w:val="000000"/>
          <w:sz w:val="20"/>
        </w:rPr>
        <w:t>9. Detection Engineering</w:t>
      </w:r>
    </w:p>
    <w:p>
      <w:pPr>
        <w:spacing w:after="80" w:before="0"/>
        <w:ind w:left="360"/>
        <w:jc w:val="left"/>
      </w:pPr>
      <w:r>
        <w:rPr>
          <w:rFonts w:ascii="Liberation Serif" w:hAnsi="Liberation Serif" w:eastAsia="Liberation Serif"/>
          <w:b w:val="0"/>
          <w:i w:val="0"/>
          <w:color w:val="000000"/>
          <w:sz w:val="20"/>
        </w:rPr>
        <w:t>9.1. Detection Summary</w:t>
      </w:r>
    </w:p>
    <w:p>
      <w:pPr>
        <w:spacing w:after="80" w:before="0"/>
        <w:ind w:left="360"/>
        <w:jc w:val="left"/>
      </w:pPr>
      <w:r>
        <w:rPr>
          <w:rFonts w:ascii="Liberation Serif" w:hAnsi="Liberation Serif" w:eastAsia="Liberation Serif"/>
          <w:b w:val="0"/>
          <w:i w:val="0"/>
          <w:color w:val="000000"/>
          <w:sz w:val="20"/>
        </w:rPr>
        <w:t>9.2. Sigma / Detection Content</w:t>
      </w:r>
    </w:p>
    <w:p>
      <w:pPr>
        <w:spacing w:after="80" w:before="0"/>
        <w:ind w:left="360"/>
        <w:jc w:val="left"/>
      </w:pPr>
      <w:r>
        <w:rPr>
          <w:rFonts w:ascii="Liberation Serif" w:hAnsi="Liberation Serif" w:eastAsia="Liberation Serif"/>
          <w:b w:val="0"/>
          <w:i w:val="0"/>
          <w:color w:val="000000"/>
          <w:sz w:val="20"/>
        </w:rPr>
        <w:t>9.3. Hunt Query</w:t>
      </w:r>
    </w:p>
    <w:p>
      <w:pPr>
        <w:spacing w:after="80" w:before="0"/>
        <w:ind w:left="0"/>
        <w:jc w:val="left"/>
      </w:pPr>
      <w:r>
        <w:rPr>
          <w:rFonts w:ascii="Liberation Serif" w:hAnsi="Liberation Serif" w:eastAsia="Liberation Serif"/>
          <w:b w:val="0"/>
          <w:i w:val="0"/>
          <w:color w:val="000000"/>
          <w:sz w:val="20"/>
        </w:rPr>
        <w:t>10. Threat Hunting</w:t>
      </w:r>
    </w:p>
    <w:p>
      <w:pPr>
        <w:spacing w:after="80" w:before="0"/>
        <w:ind w:left="360"/>
        <w:jc w:val="left"/>
      </w:pPr>
      <w:r>
        <w:rPr>
          <w:rFonts w:ascii="Liberation Serif" w:hAnsi="Liberation Serif" w:eastAsia="Liberation Serif"/>
          <w:b w:val="0"/>
          <w:i w:val="0"/>
          <w:color w:val="000000"/>
          <w:sz w:val="20"/>
        </w:rPr>
        <w:t>10.1. Hunt Hypothesis</w:t>
      </w:r>
    </w:p>
    <w:p>
      <w:pPr>
        <w:spacing w:after="80" w:before="0"/>
        <w:ind w:left="360"/>
        <w:jc w:val="left"/>
      </w:pPr>
      <w:r>
        <w:rPr>
          <w:rFonts w:ascii="Liberation Serif" w:hAnsi="Liberation Serif" w:eastAsia="Liberation Serif"/>
          <w:b w:val="0"/>
          <w:i w:val="0"/>
          <w:color w:val="000000"/>
          <w:sz w:val="20"/>
        </w:rPr>
        <w:t>10.2. Hunt Query</w:t>
      </w:r>
    </w:p>
    <w:p>
      <w:pPr>
        <w:spacing w:after="80" w:before="0"/>
        <w:ind w:left="0"/>
        <w:jc w:val="left"/>
      </w:pPr>
      <w:r>
        <w:rPr>
          <w:rFonts w:ascii="Liberation Serif" w:hAnsi="Liberation Serif" w:eastAsia="Liberation Serif"/>
          <w:b w:val="0"/>
          <w:i w:val="0"/>
          <w:color w:val="000000"/>
          <w:sz w:val="20"/>
        </w:rPr>
        <w:t>11. Risk Assessment</w:t>
      </w:r>
    </w:p>
    <w:p>
      <w:pPr>
        <w:spacing w:after="80" w:before="0"/>
        <w:ind w:left="0"/>
        <w:jc w:val="left"/>
      </w:pPr>
      <w:r>
        <w:rPr>
          <w:rFonts w:ascii="Liberation Serif" w:hAnsi="Liberation Serif" w:eastAsia="Liberation Serif"/>
          <w:b w:val="0"/>
          <w:i w:val="0"/>
          <w:color w:val="000000"/>
          <w:sz w:val="20"/>
        </w:rPr>
        <w:t>12. Recommended Actions</w:t>
      </w:r>
    </w:p>
    <w:p>
      <w:pPr>
        <w:spacing w:after="80" w:before="0"/>
        <w:ind w:left="0"/>
        <w:jc w:val="left"/>
      </w:pPr>
      <w:r>
        <w:rPr>
          <w:rFonts w:ascii="Liberation Serif" w:hAnsi="Liberation Serif" w:eastAsia="Liberation Serif"/>
          <w:b w:val="0"/>
          <w:i w:val="0"/>
          <w:color w:val="000000"/>
          <w:sz w:val="20"/>
        </w:rPr>
        <w:t>13. References</w:t>
      </w:r>
    </w:p>
    <w:p>
      <w:pPr>
        <w:sectPr>
          <w:headerReference w:type="default" r:id="rId11"/>
          <w:footerReference w:type="default" r:id="rId12"/>
          <w:pgSz w:w="12240" w:h="15840"/>
          <w:pgMar w:top="1037" w:right="1037" w:bottom="1037" w:left="1037" w:header="720" w:footer="720" w:gutter="0"/>
          <w:cols w:space="720"/>
          <w:docGrid w:linePitch="360"/>
        </w:sectPr>
      </w:pPr>
    </w:p>
    <w:p>
      <w:pPr>
        <w:pStyle w:val="Heading1"/>
        <w:spacing w:after="160" w:before="120"/>
        <w:jc w:val="left"/>
      </w:pPr>
      <w:r>
        <w:rPr>
          <w:rFonts w:ascii="Liberation Serif" w:hAnsi="Liberation Serif" w:eastAsia="Liberation Serif"/>
          <w:b/>
          <w:i w:val="0"/>
          <w:color w:val="123D63"/>
          <w:sz w:val="32"/>
        </w:rPr>
        <w:t>Airline Loyalty Reservation and Identity Abuse Aviation Daily Threat Update</w:t>
      </w:r>
    </w:p>
    <w:p>
      <w:pPr>
        <w:pStyle w:val="Heading2"/>
        <w:spacing w:after="120" w:before="120"/>
        <w:jc w:val="left"/>
      </w:pPr>
      <w:r>
        <w:rPr>
          <w:rFonts w:ascii="Liberation Serif" w:hAnsi="Liberation Serif" w:eastAsia="Liberation Serif"/>
          <w:b/>
          <w:i w:val="0"/>
          <w:color w:val="123D63"/>
          <w:sz w:val="26"/>
        </w:rPr>
        <w:t>1. Executive Summary</w:t>
      </w:r>
    </w:p>
    <w:p>
      <w:pPr>
        <w:spacing w:after="120" w:before="0"/>
        <w:jc w:val="left"/>
      </w:pPr>
      <w:r>
        <w:rPr>
          <w:rFonts w:ascii="Liberation Serif" w:hAnsi="Liberation Serif" w:eastAsia="Liberation Serif"/>
          <w:b w:val="0"/>
          <w:i w:val="0"/>
          <w:color w:val="000000"/>
          <w:sz w:val="20"/>
        </w:rPr>
        <w:t>Airline Loyalty Reservation and Identity Abuse Aviation Daily Threat Update is selected for the 2026-08-29 daily intelligence run because current public reporting describes activity or sector exposure that defenders should review within the next operating cycle. The core issue is identity-driven intrusions and fraud against airline loyalty, reservation, contact-center, and customer-data platforms.</w:t>
      </w:r>
    </w:p>
    <w:p>
      <w:pPr>
        <w:spacing w:after="120" w:before="0"/>
        <w:jc w:val="left"/>
      </w:pPr>
      <w:r>
        <w:rPr>
          <w:rFonts w:ascii="Liberation Serif" w:hAnsi="Liberation Serif" w:eastAsia="Liberation Serif"/>
          <w:b w:val="0"/>
          <w:i w:val="0"/>
          <w:color w:val="000000"/>
          <w:sz w:val="20"/>
        </w:rPr>
        <w:t>The priority is not limited to direct victims named in media reporting. Organizations with similar technology, identity, supplier, managed-service, or aviation/aerospace dependencies should use this report to run targeted exposure checks and behavioral hunts.</w:t>
      </w:r>
    </w:p>
    <w:p>
      <w:pPr>
        <w:pStyle w:val="Heading2"/>
        <w:spacing w:after="120" w:before="120"/>
        <w:jc w:val="left"/>
      </w:pPr>
      <w:r>
        <w:rPr>
          <w:rFonts w:ascii="Liberation Serif" w:hAnsi="Liberation Serif" w:eastAsia="Liberation Serif"/>
          <w:b/>
          <w:i w:val="0"/>
          <w:color w:val="123D63"/>
          <w:sz w:val="26"/>
        </w:rPr>
        <w:t>2. Intelligence Requirements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Question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Current Answer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What is the defender decision today?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Determine whether local technology, users, suppliers, or sector workflows match the reported exposure and run hunts.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Are hard IOCs available?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validated daily IOC set was available in this source bundle; detection is behavior/exposure oriented.</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Is attribution confirmed?</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This report avoids attribution beyond cited source language.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3. Source Review &amp; Confidence</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Contribution</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Confidence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PolySwarm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Notes identity-based intrusion as a growing aviation-sector risk.</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BleepingComputer</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Historical aviation breach context involving third-party customer platform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NCC Group</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Current reaction on airport customer-service data exposure.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CISA MFA Guidance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Authoritative control guidance for identity hardening.</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r>
    </w:tbl>
    <w:p>
      <w:pPr>
        <w:pStyle w:val="Heading2"/>
        <w:spacing w:after="120" w:before="120"/>
        <w:jc w:val="left"/>
      </w:pPr>
      <w:r>
        <w:rPr>
          <w:rFonts w:ascii="Liberation Serif" w:hAnsi="Liberation Serif" w:eastAsia="Liberation Serif"/>
          <w:b/>
          <w:i w:val="0"/>
          <w:color w:val="123D63"/>
          <w:sz w:val="26"/>
        </w:rPr>
        <w:t>4. Threat Activity Overview</w:t>
      </w:r>
    </w:p>
    <w:p>
      <w:pPr>
        <w:spacing w:after="120" w:before="0"/>
        <w:jc w:val="left"/>
      </w:pPr>
      <w:r>
        <w:rPr>
          <w:rFonts w:ascii="Liberation Serif" w:hAnsi="Liberation Serif" w:eastAsia="Liberation Serif"/>
          <w:b w:val="0"/>
          <w:i w:val="0"/>
          <w:color w:val="000000"/>
          <w:sz w:val="20"/>
        </w:rPr>
        <w:t>The reporting cluster centers on identity-driven intrusions and fraud against airline loyalty, reservation, contact-center, and customer-data platforms. Lost Boys Cyber treats this as a practical defensive issue: verify exposure, reduce reachable attack surface, and collect telemetry that confirms or disproves local compromise.</w:t>
      </w:r>
    </w:p>
    <w:p>
      <w:pPr>
        <w:pStyle w:val="Heading2"/>
        <w:spacing w:after="120" w:before="120"/>
        <w:jc w:val="left"/>
      </w:pPr>
      <w:r>
        <w:rPr>
          <w:rFonts w:ascii="Liberation Serif" w:hAnsi="Liberation Serif" w:eastAsia="Liberation Serif"/>
          <w:b/>
          <w:i w:val="0"/>
          <w:color w:val="123D63"/>
          <w:sz w:val="26"/>
        </w:rPr>
        <w:t>5. Affected Sectors and Exposure</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Exposure Pattern</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Risk</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Airlines, airports, reservation providers, loyalty platforms, call centers, travel portals.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High-priority environments should validate controls and third-party dependencies.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and privileged administration</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Valid-account abuse can bypass perimeter prevention and accelerate lateral movement.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Shared suppliers and service providers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Single-provider compromise can create multi-organization blast radius.</w:t>
            </w:r>
          </w:p>
        </w:tc>
      </w:tr>
    </w:tbl>
    <w:p>
      <w:pPr>
        <w:pStyle w:val="Heading2"/>
        <w:spacing w:after="120" w:before="120"/>
        <w:jc w:val="left"/>
      </w:pPr>
      <w:r>
        <w:rPr>
          <w:rFonts w:ascii="Liberation Serif" w:hAnsi="Liberation Serif" w:eastAsia="Liberation Serif"/>
          <w:b/>
          <w:i w:val="0"/>
          <w:color w:val="123D63"/>
          <w:sz w:val="26"/>
        </w:rPr>
        <w:t>6. Aviation / Aerospace Sector Impact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Sector Element</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Affected segment</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Airlines, airports, reservation providers, loyalty platforms, call centers, travel portals.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Operational relevance</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Disruption, fraud, credential compromise, or supplier impact can degrade flight operations, customer trust, maintenance workflows, or aerospace delivery chains even when aircraft safety systems are not directly targeted.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Likely exposure paths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Third-party service providers, identity platforms, shared airport systems, internet-facing remote access, CI/CD, and contractor access.</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Supply-chain considerations</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Validate managed service providers, software suppliers, ground handlers, reservation/loyalty vendors, and connectivity providers before assuming the issue is isolated.</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Defender actions</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Inventory exposure, harden MFA and privileged access, review logs with the hunts below, and confirm vendor remediation.</w:t>
            </w:r>
          </w:p>
        </w:tc>
      </w:tr>
    </w:tbl>
    <w:p>
      <w:pPr>
        <w:pStyle w:val="Heading2"/>
        <w:spacing w:after="120" w:before="120"/>
        <w:jc w:val="left"/>
      </w:pPr>
      <w:r>
        <w:rPr>
          <w:rFonts w:ascii="Liberation Serif" w:hAnsi="Liberation Serif" w:eastAsia="Liberation Serif"/>
          <w:b/>
          <w:i w:val="0"/>
          <w:color w:val="123D63"/>
          <w:sz w:val="26"/>
        </w:rPr>
        <w:t>7. Tactics, Techniques, and Procedures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Tactic / Phase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Observed Technique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Initial Access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Help desk/social engineering and valid accounts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Aviation sector reporting emphasizes identity-centric attack paths.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Credential Access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Password reset/session abuse</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Reservation and loyalty workflows are account-rich targets.</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Collection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Customer PII and booking context</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Travel-specific data enables convincing fraud and phishing.</w:t>
            </w:r>
          </w:p>
        </w:tc>
      </w:tr>
    </w:tbl>
    <w:p>
      <w:pPr>
        <w:pStyle w:val="Heading2"/>
        <w:spacing w:after="120" w:before="120"/>
        <w:jc w:val="left"/>
      </w:pPr>
      <w:r>
        <w:rPr>
          <w:rFonts w:ascii="Liberation Serif" w:hAnsi="Liberation Serif" w:eastAsia="Liberation Serif"/>
          <w:b/>
          <w:i w:val="0"/>
          <w:color w:val="123D63"/>
          <w:sz w:val="26"/>
        </w:rPr>
        <w:t>8. Infrastructure and Indicators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Indicator / Infrastructure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Type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Operational Use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No hard IOCs in this daily bundle</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Source limitation</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Use behavioral hunts until validated IOCs are available.</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Public-facing management, identity, developer, or sector-service endpoints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Exposure class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Prioritize asset inventory and logging.</w:t>
            </w:r>
          </w:p>
        </w:tc>
      </w:tr>
    </w:tbl>
    <w:p>
      <w:pPr>
        <w:pStyle w:val="Heading2"/>
        <w:spacing w:after="120" w:before="120"/>
        <w:jc w:val="left"/>
      </w:pPr>
      <w:r>
        <w:rPr>
          <w:rFonts w:ascii="Liberation Serif" w:hAnsi="Liberation Serif" w:eastAsia="Liberation Serif"/>
          <w:b/>
          <w:i w:val="0"/>
          <w:color w:val="123D63"/>
          <w:sz w:val="26"/>
        </w:rPr>
        <w:t>9. Detection Engineering</w:t>
      </w:r>
    </w:p>
    <w:p>
      <w:pPr>
        <w:pStyle w:val="Heading3"/>
        <w:spacing w:after="80" w:before="80"/>
        <w:jc w:val="left"/>
      </w:pPr>
      <w:r>
        <w:rPr>
          <w:rFonts w:ascii="Liberation Serif" w:hAnsi="Liberation Serif" w:eastAsia="Liberation Serif"/>
          <w:b/>
          <w:i w:val="0"/>
          <w:color w:val="000000"/>
          <w:sz w:val="22"/>
        </w:rPr>
        <w:t>9.1. Detection Summary</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Signal</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Telemetry Source</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Analytic Goal</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Suspicious administrative or scripting activity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DeviceProcessEvents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hands-on-keyboard or automated intrusion behavior.</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Unusual outbound connections from high-value services</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DeviceNetworkEvents / proxy</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Identify payload staging, exfiltration, or C2.</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 changes and failed/successful login anomalies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SigninLogs / AuditLogs</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Detect account takeover, help-desk abuse, or privilege escalation.</w:t>
            </w:r>
          </w:p>
        </w:tc>
      </w:tr>
    </w:tbl>
    <w:p>
      <w:pPr>
        <w:pStyle w:val="Heading3"/>
        <w:spacing w:after="80" w:before="80"/>
        <w:jc w:val="left"/>
      </w:pPr>
      <w:r>
        <w:rPr>
          <w:rFonts w:ascii="Liberation Serif" w:hAnsi="Liberation Serif" w:eastAsia="Liberation Serif"/>
          <w:b/>
          <w:i w:val="0"/>
          <w:color w:val="000000"/>
          <w:sz w:val="22"/>
        </w:rPr>
        <w:t>9.2. Sigma / Detection Content</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title: Airline Loyalty and Reservation Abuse Daily Threat Behavior</w:t>
            </w:r>
          </w:p>
          <w:p>
            <w:pPr>
              <w:spacing w:before="0" w:after="0"/>
              <w:ind w:left="0"/>
            </w:pPr>
            <w:r/>
            <w:r>
              <w:rPr>
                <w:rFonts w:ascii="Liberation Mono" w:hAnsi="Liberation Mono" w:eastAsia="Liberation Mono"/>
                <w:color w:val="000000"/>
                <w:sz w:val="16"/>
              </w:rPr>
              <w:t>status: experimental</w:t>
            </w:r>
          </w:p>
          <w:p>
            <w:pPr>
              <w:spacing w:before="0" w:after="0"/>
              <w:ind w:left="0"/>
            </w:pPr>
            <w:r/>
            <w:r>
              <w:rPr>
                <w:rFonts w:ascii="Liberation Mono" w:hAnsi="Liberation Mono" w:eastAsia="Liberation Mono"/>
                <w:color w:val="000000"/>
                <w:sz w:val="16"/>
              </w:rPr>
              <w:t>description: Behavior-oriented analytic for identity-driven intrusions and fraud against airline loyalty, reservation, contact-center, and customer-data platforms.</w:t>
            </w:r>
          </w:p>
          <w:p>
            <w:pPr>
              <w:spacing w:before="0" w:after="0"/>
              <w:ind w:left="0"/>
            </w:pPr>
            <w:r/>
            <w:r>
              <w:rPr>
                <w:rFonts w:ascii="Liberation Mono" w:hAnsi="Liberation Mono" w:eastAsia="Liberation Mono"/>
                <w:color w:val="000000"/>
                <w:sz w:val="16"/>
              </w:rPr>
              <w:t>logsource:</w:t>
            </w:r>
          </w:p>
          <w:p>
            <w:pPr>
              <w:spacing w:before="0" w:after="0"/>
              <w:ind w:left="0"/>
            </w:pPr>
            <w:r/>
            <w:r>
              <w:rPr>
                <w:rFonts w:ascii="Liberation Mono" w:hAnsi="Liberation Mono" w:eastAsia="Liberation Mono"/>
                <w:color w:val="000000"/>
                <w:sz w:val="16"/>
              </w:rPr>
              <w:t xml:space="preserve">  product: windows</w:t>
            </w:r>
          </w:p>
          <w:p>
            <w:pPr>
              <w:spacing w:before="0" w:after="0"/>
              <w:ind w:left="0"/>
            </w:pPr>
            <w:r/>
            <w:r>
              <w:rPr>
                <w:rFonts w:ascii="Liberation Mono" w:hAnsi="Liberation Mono" w:eastAsia="Liberation Mono"/>
                <w:color w:val="000000"/>
                <w:sz w:val="16"/>
              </w:rPr>
              <w:t xml:space="preserve">  category: process_creation</w:t>
            </w:r>
          </w:p>
          <w:p>
            <w:pPr>
              <w:spacing w:before="0" w:after="0"/>
              <w:ind w:left="0"/>
            </w:pPr>
            <w:r/>
            <w:r>
              <w:rPr>
                <w:rFonts w:ascii="Liberation Mono" w:hAnsi="Liberation Mono" w:eastAsia="Liberation Mono"/>
                <w:color w:val="000000"/>
                <w:sz w:val="16"/>
              </w:rPr>
              <w:t>detection:</w:t>
            </w:r>
          </w:p>
          <w:p>
            <w:pPr>
              <w:spacing w:before="0" w:after="0"/>
              <w:ind w:left="0"/>
            </w:pPr>
            <w:r/>
            <w:r>
              <w:rPr>
                <w:rFonts w:ascii="Liberation Mono" w:hAnsi="Liberation Mono" w:eastAsia="Liberation Mono"/>
                <w:color w:val="000000"/>
                <w:sz w:val="16"/>
              </w:rPr>
              <w:t xml:space="preserve">  suspicious_tools:</w:t>
            </w:r>
          </w:p>
          <w:p>
            <w:pPr>
              <w:spacing w:before="0" w:after="0"/>
              <w:ind w:left="0"/>
            </w:pPr>
            <w:r/>
            <w:r>
              <w:rPr>
                <w:rFonts w:ascii="Liberation Mono" w:hAnsi="Liberation Mono" w:eastAsia="Liberation Mono"/>
                <w:color w:val="000000"/>
                <w:sz w:val="16"/>
              </w:rPr>
              <w:t xml:space="preserve">    Image|endswith:</w:t>
            </w:r>
          </w:p>
          <w:p>
            <w:pPr>
              <w:spacing w:before="0" w:after="0"/>
              <w:ind w:left="0"/>
            </w:pPr>
            <w:r/>
            <w:r>
              <w:rPr>
                <w:rFonts w:ascii="Liberation Mono" w:hAnsi="Liberation Mono" w:eastAsia="Liberation Mono"/>
                <w:color w:val="000000"/>
                <w:sz w:val="16"/>
              </w:rPr>
              <w:t xml:space="preserve">      - '\powershell.exe'</w:t>
            </w:r>
          </w:p>
          <w:p>
            <w:pPr>
              <w:spacing w:before="0" w:after="0"/>
              <w:ind w:left="0"/>
            </w:pPr>
            <w:r/>
            <w:r>
              <w:rPr>
                <w:rFonts w:ascii="Liberation Mono" w:hAnsi="Liberation Mono" w:eastAsia="Liberation Mono"/>
                <w:color w:val="000000"/>
                <w:sz w:val="16"/>
              </w:rPr>
              <w:t xml:space="preserve">      - '\cmd.exe'</w:t>
            </w:r>
          </w:p>
          <w:p>
            <w:pPr>
              <w:spacing w:before="0" w:after="0"/>
              <w:ind w:left="0"/>
            </w:pPr>
            <w:r/>
            <w:r>
              <w:rPr>
                <w:rFonts w:ascii="Liberation Mono" w:hAnsi="Liberation Mono" w:eastAsia="Liberation Mono"/>
                <w:color w:val="000000"/>
                <w:sz w:val="16"/>
              </w:rPr>
              <w:t xml:space="preserve">      - '\wscript.exe'</w:t>
            </w:r>
          </w:p>
          <w:p>
            <w:pPr>
              <w:spacing w:before="0" w:after="0"/>
              <w:ind w:left="0"/>
            </w:pPr>
            <w:r/>
            <w:r>
              <w:rPr>
                <w:rFonts w:ascii="Liberation Mono" w:hAnsi="Liberation Mono" w:eastAsia="Liberation Mono"/>
                <w:color w:val="000000"/>
                <w:sz w:val="16"/>
              </w:rPr>
              <w:t xml:space="preserve">      - '\cscript.exe'</w:t>
            </w:r>
          </w:p>
          <w:p>
            <w:pPr>
              <w:spacing w:before="0" w:after="0"/>
              <w:ind w:left="0"/>
            </w:pPr>
            <w:r/>
            <w:r>
              <w:rPr>
                <w:rFonts w:ascii="Liberation Mono" w:hAnsi="Liberation Mono" w:eastAsia="Liberation Mono"/>
                <w:color w:val="000000"/>
                <w:sz w:val="16"/>
              </w:rPr>
              <w:t xml:space="preserve">      - '\rclone.exe'</w:t>
            </w:r>
          </w:p>
          <w:p>
            <w:pPr>
              <w:spacing w:before="0" w:after="0"/>
              <w:ind w:left="0"/>
            </w:pPr>
            <w:r/>
            <w:r>
              <w:rPr>
                <w:rFonts w:ascii="Liberation Mono" w:hAnsi="Liberation Mono" w:eastAsia="Liberation Mono"/>
                <w:color w:val="000000"/>
                <w:sz w:val="16"/>
              </w:rPr>
              <w:t xml:space="preserve">  suspicious_args:</w:t>
            </w:r>
          </w:p>
          <w:p>
            <w:pPr>
              <w:spacing w:before="0" w:after="0"/>
              <w:ind w:left="0"/>
            </w:pPr>
            <w:r/>
            <w:r>
              <w:rPr>
                <w:rFonts w:ascii="Liberation Mono" w:hAnsi="Liberation Mono" w:eastAsia="Liberation Mono"/>
                <w:color w:val="000000"/>
                <w:sz w:val="16"/>
              </w:rPr>
              <w:t xml:space="preserve">    CommandLine|contains:</w:t>
            </w:r>
          </w:p>
          <w:p>
            <w:pPr>
              <w:spacing w:before="0" w:after="0"/>
              <w:ind w:left="0"/>
            </w:pPr>
            <w:r/>
            <w:r>
              <w:rPr>
                <w:rFonts w:ascii="Liberation Mono" w:hAnsi="Liberation Mono" w:eastAsia="Liberation Mono"/>
                <w:color w:val="000000"/>
                <w:sz w:val="16"/>
              </w:rPr>
              <w:t xml:space="preserve">      - 'vssadmin delete shadows'</w:t>
            </w:r>
          </w:p>
          <w:p>
            <w:pPr>
              <w:spacing w:before="0" w:after="0"/>
              <w:ind w:left="0"/>
            </w:pPr>
            <w:r/>
            <w:r>
              <w:rPr>
                <w:rFonts w:ascii="Liberation Mono" w:hAnsi="Liberation Mono" w:eastAsia="Liberation Mono"/>
                <w:color w:val="000000"/>
                <w:sz w:val="16"/>
              </w:rPr>
              <w:t xml:space="preserve">      - 'wevtutil cl'</w:t>
            </w:r>
          </w:p>
          <w:p>
            <w:pPr>
              <w:spacing w:before="0" w:after="0"/>
              <w:ind w:left="0"/>
            </w:pPr>
            <w:r/>
            <w:r>
              <w:rPr>
                <w:rFonts w:ascii="Liberation Mono" w:hAnsi="Liberation Mono" w:eastAsia="Liberation Mono"/>
                <w:color w:val="000000"/>
                <w:sz w:val="16"/>
              </w:rPr>
              <w:t xml:space="preserve">      - 'curl '</w:t>
            </w:r>
          </w:p>
          <w:p>
            <w:pPr>
              <w:spacing w:before="0" w:after="0"/>
              <w:ind w:left="0"/>
            </w:pPr>
            <w:r/>
            <w:r>
              <w:rPr>
                <w:rFonts w:ascii="Liberation Mono" w:hAnsi="Liberation Mono" w:eastAsia="Liberation Mono"/>
                <w:color w:val="000000"/>
                <w:sz w:val="16"/>
              </w:rPr>
              <w:t xml:space="preserve">      - 'wget '</w:t>
            </w:r>
          </w:p>
          <w:p>
            <w:pPr>
              <w:spacing w:before="0" w:after="0"/>
              <w:ind w:left="0"/>
            </w:pPr>
            <w:r/>
            <w:r>
              <w:rPr>
                <w:rFonts w:ascii="Liberation Mono" w:hAnsi="Liberation Mono" w:eastAsia="Liberation Mono"/>
                <w:color w:val="000000"/>
                <w:sz w:val="16"/>
              </w:rPr>
              <w:t xml:space="preserve">      - 'Invoke-WebRequest'</w:t>
            </w:r>
          </w:p>
          <w:p>
            <w:pPr>
              <w:spacing w:before="0" w:after="0"/>
              <w:ind w:left="0"/>
            </w:pPr>
            <w:r/>
            <w:r>
              <w:rPr>
                <w:rFonts w:ascii="Liberation Mono" w:hAnsi="Liberation Mono" w:eastAsia="Liberation Mono"/>
                <w:color w:val="000000"/>
                <w:sz w:val="16"/>
              </w:rPr>
              <w:t xml:space="preserve">  condition: suspicious_tools or suspicious_args</w:t>
            </w:r>
          </w:p>
          <w:p>
            <w:pPr>
              <w:spacing w:before="0" w:after="0"/>
              <w:ind w:left="0"/>
            </w:pPr>
            <w:r/>
            <w:r>
              <w:rPr>
                <w:rFonts w:ascii="Liberation Mono" w:hAnsi="Liberation Mono" w:eastAsia="Liberation Mono"/>
                <w:color w:val="000000"/>
                <w:sz w:val="16"/>
              </w:rPr>
              <w:t>level: high</w:t>
            </w:r>
          </w:p>
        </w:tc>
      </w:tr>
    </w:tbl>
    <w:p>
      <w:pPr>
        <w:pStyle w:val="Heading3"/>
        <w:spacing w:after="80" w:before="80"/>
        <w:jc w:val="left"/>
      </w:pPr>
      <w:r>
        <w:rPr>
          <w:rFonts w:ascii="Liberation Serif" w:hAnsi="Liberation Serif" w:eastAsia="Liberation Serif"/>
          <w:b/>
          <w:i w:val="0"/>
          <w:color w:val="000000"/>
          <w:sz w:val="22"/>
        </w:rPr>
        <w:t>9.3.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SigninLogs | where AppDisplayName has_any ('loyalty','reservation','booking','CRM') and ResultType == 0 | summarize count(), dcount(IPAddress) by UserPrincipalName, bin(TimeGenerated, 1h)</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project Timestamp, DeviceName, FileName, InitiatingProcessFileName, ProcessCommandLine</w:t>
            </w:r>
          </w:p>
        </w:tc>
      </w:tr>
    </w:tbl>
    <w:p>
      <w:pPr>
        <w:pStyle w:val="Heading2"/>
        <w:spacing w:after="120" w:before="120"/>
        <w:jc w:val="left"/>
      </w:pPr>
      <w:r>
        <w:rPr>
          <w:rFonts w:ascii="Liberation Serif" w:hAnsi="Liberation Serif" w:eastAsia="Liberation Serif"/>
          <w:b/>
          <w:i w:val="0"/>
          <w:color w:val="123D63"/>
          <w:sz w:val="26"/>
        </w:rPr>
        <w:t>10. Threat Hunting</w:t>
      </w:r>
    </w:p>
    <w:p>
      <w:pPr>
        <w:pStyle w:val="Heading3"/>
        <w:spacing w:after="80" w:before="80"/>
        <w:jc w:val="left"/>
      </w:pPr>
      <w:r>
        <w:rPr>
          <w:rFonts w:ascii="Liberation Serif" w:hAnsi="Liberation Serif" w:eastAsia="Liberation Serif"/>
          <w:b/>
          <w:i w:val="0"/>
          <w:color w:val="000000"/>
          <w:sz w:val="22"/>
        </w:rPr>
        <w:t>10.1. Hunt Hypothesis</w:t>
      </w:r>
    </w:p>
    <w:p>
      <w:pPr>
        <w:spacing w:after="120" w:before="0"/>
        <w:jc w:val="left"/>
      </w:pPr>
      <w:r>
        <w:rPr>
          <w:rFonts w:ascii="Liberation Serif" w:hAnsi="Liberation Serif" w:eastAsia="Liberation Serif"/>
          <w:b w:val="0"/>
          <w:i w:val="0"/>
          <w:color w:val="000000"/>
          <w:sz w:val="20"/>
        </w:rPr>
        <w:t>Local environments matching the reported exposure will show anomalous scripting, identity, remote-access, or data-movement activity before any formal incident declaration.</w:t>
      </w:r>
    </w:p>
    <w:p>
      <w:pPr>
        <w:pStyle w:val="Heading3"/>
        <w:spacing w:after="80" w:before="80"/>
        <w:jc w:val="left"/>
      </w:pPr>
      <w:r>
        <w:rPr>
          <w:rFonts w:ascii="Liberation Serif" w:hAnsi="Liberation Serif" w:eastAsia="Liberation Serif"/>
          <w:b/>
          <w:i w:val="0"/>
          <w:color w:val="000000"/>
          <w:sz w:val="22"/>
        </w:rPr>
        <w:t>10.2. Hunt Query</w:t>
      </w:r>
    </w:p>
    <w:tbl>
      <w:tblPr>
        <w:tblW w:type="auto" w:w="0"/>
        <w:jc w:val="left"/>
        <w:tblLook w:firstColumn="1" w:firstRow="1" w:lastColumn="0" w:lastRow="0" w:noHBand="0" w:noVBand="1" w:val="04A0"/>
      </w:tblPr>
      <w:tblGrid>
        <w:gridCol w:w="10166"/>
      </w:tblGrid>
      <w:tr>
        <w:tc>
          <w:tcPr>
            <w:tcW w:type="dxa" w:w="10166"/>
            <w:shd w:fill="F3F6F8"/>
            <w:tcBorders>
              <w:top w:val="single" w:sz="6" w:color="75A9CF"/>
              <w:left w:val="single" w:sz="6" w:color="75A9CF"/>
              <w:bottom w:val="single" w:sz="6" w:color="75A9CF"/>
              <w:right w:val="single" w:sz="6" w:color="75A9CF"/>
            </w:tcBorders>
          </w:tcPr>
          <w:p>
            <w:pPr>
              <w:spacing w:before="0" w:after="0"/>
              <w:ind w:left="0"/>
            </w:pPr>
            <w:r/>
            <w:r>
              <w:rPr>
                <w:rFonts w:ascii="Liberation Mono" w:hAnsi="Liberation Mono" w:eastAsia="Liberation Mono"/>
                <w:color w:val="000000"/>
                <w:sz w:val="16"/>
              </w:rPr>
              <w:t>AuditLogs | where OperationName has_any ('Reset password','Update user','Add member to role') and TargetResources has_any ('loyalty','reservation')</w:t>
            </w:r>
          </w:p>
          <w:p>
            <w:pPr>
              <w:spacing w:before="0" w:after="0"/>
              <w:ind w:left="0"/>
            </w:pPr>
            <w:r/>
            <w:r>
              <w:rPr>
                <w:rFonts w:ascii="Liberation Mono" w:hAnsi="Liberation Mono" w:eastAsia="Liberation Mono"/>
                <w:color w:val="000000"/>
                <w:sz w:val="16"/>
              </w:rPr>
              <w:t>| where Timestamp &gt; ago(14d)</w:t>
            </w:r>
          </w:p>
          <w:p>
            <w:pPr>
              <w:spacing w:before="0" w:after="0"/>
              <w:ind w:left="0"/>
            </w:pPr>
            <w:r/>
            <w:r>
              <w:rPr>
                <w:rFonts w:ascii="Liberation Mono" w:hAnsi="Liberation Mono" w:eastAsia="Liberation Mono"/>
                <w:color w:val="000000"/>
                <w:sz w:val="16"/>
              </w:rPr>
              <w:t>| summarize count(), min(Timestamp), max(Timestamp), make_set(RemoteUrl, 20) by DeviceName, InitiatingProcessFileName, InitiatingProcessAccountName</w:t>
            </w:r>
          </w:p>
          <w:p>
            <w:pPr>
              <w:spacing w:before="0" w:after="0"/>
              <w:ind w:left="0"/>
            </w:pPr>
            <w:r/>
            <w:r>
              <w:rPr>
                <w:rFonts w:ascii="Liberation Mono" w:hAnsi="Liberation Mono" w:eastAsia="Liberation Mono"/>
                <w:color w:val="000000"/>
                <w:sz w:val="16"/>
              </w:rPr>
              <w:t>| order by count_ desc</w:t>
            </w:r>
          </w:p>
        </w:tc>
      </w:tr>
    </w:tbl>
    <w:p>
      <w:pPr>
        <w:pStyle w:val="Heading2"/>
        <w:spacing w:after="120" w:before="120"/>
        <w:jc w:val="left"/>
      </w:pPr>
      <w:r>
        <w:rPr>
          <w:rFonts w:ascii="Liberation Serif" w:hAnsi="Liberation Serif" w:eastAsia="Liberation Serif"/>
          <w:b/>
          <w:i w:val="0"/>
          <w:color w:val="123D63"/>
          <w:sz w:val="26"/>
        </w:rPr>
        <w:t>11. Risk Assessment</w:t>
      </w:r>
    </w:p>
    <w:tbl>
      <w:tblPr>
        <w:tblW w:type="auto" w:w="0"/>
        <w:jc w:val="left"/>
        <w:tblLayout w:type="autofit"/>
        <w:tblLook w:firstColumn="1" w:firstRow="1" w:lastColumn="0" w:lastRow="0" w:noHBand="0" w:noVBand="1" w:val="04A0"/>
      </w:tblPr>
      <w:tblGrid>
        <w:gridCol w:w="5083"/>
        <w:gridCol w:w="5083"/>
      </w:tblGrid>
      <w:tr>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Risk Driver</w:t>
            </w:r>
          </w:p>
        </w:tc>
        <w:tc>
          <w:tcPr>
            <w:tcW w:type="dxa" w:w="5083"/>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Assessment</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Likelihood</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Elevated where exposed technology or sector dependencies match the source reporting.</w:t>
            </w:r>
          </w:p>
        </w:tc>
      </w:tr>
      <w:tr>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Impact</w:t>
            </w:r>
          </w:p>
        </w:tc>
        <w:tc>
          <w:tcPr>
            <w:tcW w:type="dxa" w:w="5083"/>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Potential for ransomware, data theft, credential compromise, service disruption, or customer fraud depending on the topic.</w:t>
            </w:r>
          </w:p>
        </w:tc>
      </w:tr>
      <w:tr>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Confidence</w:t>
            </w:r>
          </w:p>
        </w:tc>
        <w:tc>
          <w:tcPr>
            <w:tcW w:type="dxa" w:w="5083"/>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 based on publicly available reporting and no private telemetry in this run.</w:t>
            </w:r>
          </w:p>
        </w:tc>
      </w:tr>
    </w:tbl>
    <w:p>
      <w:pPr>
        <w:pStyle w:val="Heading2"/>
        <w:spacing w:after="120" w:before="120"/>
        <w:jc w:val="left"/>
      </w:pPr>
      <w:r>
        <w:rPr>
          <w:rFonts w:ascii="Liberation Serif" w:hAnsi="Liberation Serif" w:eastAsia="Liberation Serif"/>
          <w:b/>
          <w:i w:val="0"/>
          <w:color w:val="123D63"/>
          <w:sz w:val="26"/>
        </w:rPr>
        <w:t>12. Recommended Actions</w:t>
      </w:r>
    </w:p>
    <w:tbl>
      <w:tblPr>
        <w:tblW w:type="auto" w:w="0"/>
        <w:jc w:val="left"/>
        <w:tblLayout w:type="autofit"/>
        <w:tblLook w:firstColumn="1" w:firstRow="1" w:lastColumn="0" w:lastRow="0" w:noHBand="0" w:noVBand="1" w:val="04A0"/>
      </w:tblPr>
      <w:tblGrid>
        <w:gridCol w:w="3389"/>
        <w:gridCol w:w="3389"/>
        <w:gridCol w:w="3389"/>
      </w:tblGrid>
      <w:tr>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Priority</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Owner</w:t>
            </w:r>
          </w:p>
        </w:tc>
        <w:tc>
          <w:tcPr>
            <w:tcW w:type="dxa" w:w="3389"/>
            <w:vAlign w:val="center"/>
            <w:shd w:fill="EAF4FB"/>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color w:val="123D63"/>
                <w:sz w:val="18"/>
              </w:rPr>
              <w:t>Action</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Critical</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Asset / Platform</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Confirm whether the reported technology, service provider, or workflow exists locally.</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SOC</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Execute the embedded KQL hunts and retain evidence.</w:t>
            </w:r>
          </w:p>
        </w:tc>
      </w:tr>
      <w:tr>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High</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Identity</w:t>
            </w:r>
          </w:p>
        </w:tc>
        <w:tc>
          <w:tcPr>
            <w:tcW w:type="dxa" w:w="3389"/>
            <w:vAlign w:val="center"/>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Review MFA, privileged access, help-desk reset paths, and third-party admin accounts.</w:t>
            </w:r>
          </w:p>
        </w:tc>
      </w:tr>
      <w:tr>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Medium</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Vendor Management</w:t>
            </w:r>
          </w:p>
        </w:tc>
        <w:tc>
          <w:tcPr>
            <w:tcW w:type="dxa" w:w="3389"/>
            <w:vAlign w:val="center"/>
            <w:shd w:fill="F3F6F8"/>
            <w:tcBorders>
              <w:top w:val="single" w:sz="6" w:color="75A9CF"/>
              <w:left w:val="single" w:sz="6" w:color="75A9CF"/>
              <w:bottom w:val="single" w:sz="6" w:color="75A9CF"/>
              <w:right w:val="single" w:sz="6" w:color="75A9CF"/>
            </w:tcBorders>
          </w:tcPr>
          <w:p>
            <w:pPr>
              <w:jc w:val="left"/>
            </w:pPr>
            <w:r/>
            <w:r>
              <w:rPr>
                <w:rFonts w:ascii="Liberation Serif" w:hAnsi="Liberation Serif" w:eastAsia="Liberation Serif"/>
                <w:b w:val="0"/>
                <w:color w:val="000000"/>
                <w:sz w:val="18"/>
              </w:rPr>
              <w:t>Ask suppliers for patch, breach, and monitoring attestations where relevant.</w:t>
            </w:r>
          </w:p>
        </w:tc>
      </w:tr>
    </w:tbl>
    <w:p>
      <w:pPr>
        <w:pStyle w:val="Heading2"/>
        <w:spacing w:after="120" w:before="120"/>
        <w:jc w:val="left"/>
      </w:pPr>
      <w:r>
        <w:rPr>
          <w:rFonts w:ascii="Liberation Serif" w:hAnsi="Liberation Serif" w:eastAsia="Liberation Serif"/>
          <w:b/>
          <w:i w:val="0"/>
          <w:color w:val="123D63"/>
          <w:sz w:val="26"/>
        </w:rPr>
        <w:t>13. References</w:t>
      </w:r>
    </w:p>
    <w:p>
      <w:pPr>
        <w:pStyle w:val="ListBullet"/>
        <w:spacing w:after="40" w:before="0"/>
        <w:jc w:val="left"/>
      </w:pPr>
      <w:r>
        <w:rPr>
          <w:rFonts w:ascii="Liberation Serif" w:hAnsi="Liberation Serif" w:eastAsia="Liberation Serif"/>
          <w:b w:val="0"/>
          <w:i w:val="0"/>
          <w:color w:val="000000"/>
          <w:sz w:val="20"/>
        </w:rPr>
        <w:t>[PolySwarm](https://blog.polyswarm.io/turbulence-ahead-cyber-threats-targeting-aviation-and-aerospace-in-2026) — Notes identity-based intrusion as a growing aviation-sector risk.</w:t>
      </w:r>
    </w:p>
    <w:p>
      <w:pPr>
        <w:pStyle w:val="ListBullet"/>
        <w:spacing w:after="40" w:before="0"/>
        <w:jc w:val="left"/>
      </w:pPr>
      <w:r>
        <w:rPr>
          <w:rFonts w:ascii="Liberation Serif" w:hAnsi="Liberation Serif" w:eastAsia="Liberation Serif"/>
          <w:b w:val="0"/>
          <w:i w:val="0"/>
          <w:color w:val="000000"/>
          <w:sz w:val="20"/>
        </w:rPr>
        <w:t>[BleepingComputer](https://www.bleepingcomputer.com/news/security/qantas-discloses-cyberattack-amid-scattered-spider-aviation-breaches/) — Historical aviation breach context involving third-party customer platform access.</w:t>
      </w:r>
    </w:p>
    <w:p>
      <w:pPr>
        <w:pStyle w:val="ListBullet"/>
        <w:spacing w:after="40" w:before="0"/>
        <w:jc w:val="left"/>
      </w:pPr>
      <w:r>
        <w:rPr>
          <w:rFonts w:ascii="Liberation Serif" w:hAnsi="Liberation Serif" w:eastAsia="Liberation Serif"/>
          <w:b w:val="0"/>
          <w:i w:val="0"/>
          <w:color w:val="000000"/>
          <w:sz w:val="20"/>
        </w:rPr>
        <w:t>[NCC Group](https://www.nccgroup.com/newsroom/news-reaction-manchester-airports-group-cyber-attack/) — Current reaction on airport customer-service data exposure.</w:t>
      </w:r>
    </w:p>
    <w:p>
      <w:pPr>
        <w:pStyle w:val="ListBullet"/>
        <w:spacing w:after="40" w:before="0"/>
        <w:jc w:val="left"/>
      </w:pPr>
      <w:r>
        <w:rPr>
          <w:rFonts w:ascii="Liberation Serif" w:hAnsi="Liberation Serif" w:eastAsia="Liberation Serif"/>
          <w:b w:val="0"/>
          <w:i w:val="0"/>
          <w:color w:val="000000"/>
          <w:sz w:val="20"/>
        </w:rPr>
        <w:t>[CISA MFA Guidance](https://www.cisa.gov/resources-tools/resources/multifactor-authentication-mfa) — Authoritative control guidance for identity hardening.</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eastAsia="Liberation Serif"/>
        <w:sz w:val="18"/>
      </w:rPr>
    </w:r>
    <w:r>
      <w:rPr>
        <w:rFonts w:ascii="Liberation Serif" w:hAnsi="Liberation Serif" w:eastAsia="Liberation Serif"/>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Liberation Serif" w:hAnsi="Liberation Serif" w:eastAsia="Liberation Serif"/>
        <w:color w:val="123D63"/>
        <w:sz w:val="18"/>
      </w:rPr>
      <w:t>TLP:CLEAR | Lost Boys Cyber | Airline Loyalty and Reservation Abuse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