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PX4 Autopilot CVE-2026-1579 UAS and Aviation Exposure Daily Threat Update</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2026-08-29</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PX4 Autopilot CVE-2026-1579 UAS and Aviation Exposure Daily Threat Update - Threat Report</w:t>
      </w:r>
    </w:p>
    <w:p>
      <w:pPr>
        <w:spacing w:after="200" w:before="0"/>
        <w:jc w:val="left"/>
      </w:pPr>
      <w:r>
        <w:rPr>
          <w:rFonts w:ascii="Liberation Serif" w:hAnsi="Liberation Serif" w:eastAsia="Liberation Serif"/>
          <w:b w:val="0"/>
          <w:i w:val="0"/>
          <w:color w:val="000000"/>
          <w:sz w:val="18"/>
        </w:rPr>
        <w:t>Published: 2026-08-29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Activity Overview</w:t>
      </w:r>
    </w:p>
    <w:p>
      <w:pPr>
        <w:spacing w:after="80" w:before="0"/>
        <w:ind w:left="0"/>
        <w:jc w:val="left"/>
      </w:pPr>
      <w:r>
        <w:rPr>
          <w:rFonts w:ascii="Liberation Serif" w:hAnsi="Liberation Serif" w:eastAsia="Liberation Serif"/>
          <w:b w:val="0"/>
          <w:i w:val="0"/>
          <w:color w:val="000000"/>
          <w:sz w:val="20"/>
        </w:rPr>
        <w:t>5. Affected Sectors and Exposure</w:t>
      </w:r>
    </w:p>
    <w:p>
      <w:pPr>
        <w:spacing w:after="80" w:before="0"/>
        <w:ind w:left="0"/>
        <w:jc w:val="left"/>
      </w:pPr>
      <w:r>
        <w:rPr>
          <w:rFonts w:ascii="Liberation Serif" w:hAnsi="Liberation Serif" w:eastAsia="Liberation Serif"/>
          <w:b w:val="0"/>
          <w:i w:val="0"/>
          <w:color w:val="000000"/>
          <w:sz w:val="20"/>
        </w:rPr>
        <w:t>6. Aviation / Aerospace Sector Impact</w:t>
      </w:r>
    </w:p>
    <w:p>
      <w:pPr>
        <w:spacing w:after="80" w:before="0"/>
        <w:ind w:left="0"/>
        <w:jc w:val="left"/>
      </w:pPr>
      <w:r>
        <w:rPr>
          <w:rFonts w:ascii="Liberation Serif" w:hAnsi="Liberation Serif" w:eastAsia="Liberation Serif"/>
          <w:b w:val="0"/>
          <w:i w:val="0"/>
          <w:color w:val="000000"/>
          <w:sz w:val="20"/>
        </w:rPr>
        <w:t>7. Tactics, Techniques, and Procedures</w:t>
      </w:r>
    </w:p>
    <w:p>
      <w:pPr>
        <w:spacing w:after="80" w:before="0"/>
        <w:ind w:left="0"/>
        <w:jc w:val="left"/>
      </w:pPr>
      <w:r>
        <w:rPr>
          <w:rFonts w:ascii="Liberation Serif" w:hAnsi="Liberation Serif" w:eastAsia="Liberation Serif"/>
          <w:b w:val="0"/>
          <w:i w:val="0"/>
          <w:color w:val="000000"/>
          <w:sz w:val="20"/>
        </w:rPr>
        <w:t>8. Infrastructure and Indicators</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Summary</w:t>
      </w:r>
    </w:p>
    <w:p>
      <w:pPr>
        <w:spacing w:after="80" w:before="0"/>
        <w:ind w:left="360"/>
        <w:jc w:val="left"/>
      </w:pPr>
      <w:r>
        <w:rPr>
          <w:rFonts w:ascii="Liberation Serif" w:hAnsi="Liberation Serif" w:eastAsia="Liberation Serif"/>
          <w:b w:val="0"/>
          <w:i w:val="0"/>
          <w:color w:val="000000"/>
          <w:sz w:val="20"/>
        </w:rPr>
        <w:t>9.2. Sigma / Detection Content</w:t>
      </w:r>
    </w:p>
    <w:p>
      <w:pPr>
        <w:spacing w:after="80" w:before="0"/>
        <w:ind w:left="360"/>
        <w:jc w:val="left"/>
      </w:pPr>
      <w:r>
        <w:rPr>
          <w:rFonts w:ascii="Liberation Serif" w:hAnsi="Liberation Serif" w:eastAsia="Liberation Serif"/>
          <w:b w:val="0"/>
          <w:i w:val="0"/>
          <w:color w:val="000000"/>
          <w:sz w:val="20"/>
        </w:rPr>
        <w:t>9.3. Hunt Query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360"/>
        <w:jc w:val="left"/>
      </w:pPr>
      <w:r>
        <w:rPr>
          <w:rFonts w:ascii="Liberation Serif" w:hAnsi="Liberation Serif" w:eastAsia="Liberation Serif"/>
          <w:b w:val="0"/>
          <w:i w:val="0"/>
          <w:color w:val="000000"/>
          <w:sz w:val="20"/>
        </w:rPr>
        <w:t>10.1. Hunt Hypothesis</w:t>
      </w:r>
    </w:p>
    <w:p>
      <w:pPr>
        <w:spacing w:after="80" w:before="0"/>
        <w:ind w:left="360"/>
        <w:jc w:val="left"/>
      </w:pPr>
      <w:r>
        <w:rPr>
          <w:rFonts w:ascii="Liberation Serif" w:hAnsi="Liberation Serif" w:eastAsia="Liberation Serif"/>
          <w:b w:val="0"/>
          <w:i w:val="0"/>
          <w:color w:val="000000"/>
          <w:sz w:val="20"/>
        </w:rPr>
        <w:t>10.2. Hunt Query</w:t>
      </w:r>
    </w:p>
    <w:p>
      <w:pPr>
        <w:spacing w:after="80" w:before="0"/>
        <w:ind w:left="0"/>
        <w:jc w:val="left"/>
      </w:pPr>
      <w:r>
        <w:rPr>
          <w:rFonts w:ascii="Liberation Serif" w:hAnsi="Liberation Serif" w:eastAsia="Liberation Serif"/>
          <w:b w:val="0"/>
          <w:i w:val="0"/>
          <w:color w:val="000000"/>
          <w:sz w:val="20"/>
        </w:rPr>
        <w:t>11. Risk Assessment</w:t>
      </w:r>
    </w:p>
    <w:p>
      <w:pPr>
        <w:spacing w:after="80" w:before="0"/>
        <w:ind w:left="0"/>
        <w:jc w:val="left"/>
      </w:pPr>
      <w:r>
        <w:rPr>
          <w:rFonts w:ascii="Liberation Serif" w:hAnsi="Liberation Serif" w:eastAsia="Liberation Serif"/>
          <w:b w:val="0"/>
          <w:i w:val="0"/>
          <w:color w:val="000000"/>
          <w:sz w:val="20"/>
        </w:rPr>
        <w:t>12. Recommended Actions</w:t>
      </w:r>
    </w:p>
    <w:p>
      <w:pPr>
        <w:spacing w:after="80" w:before="0"/>
        <w:ind w:left="0"/>
        <w:jc w:val="left"/>
      </w:pPr>
      <w:r>
        <w:rPr>
          <w:rFonts w:ascii="Liberation Serif" w:hAnsi="Liberation Serif" w:eastAsia="Liberation Serif"/>
          <w:b w:val="0"/>
          <w:i w:val="0"/>
          <w:color w:val="000000"/>
          <w:sz w:val="20"/>
        </w:rPr>
        <w:t>13.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PX4 Autopilot CVE-2026-1579 UAS and Aviation Exposure Daily Threat Update</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PX4 Autopilot CVE-2026-1579 UAS and Aviation Exposure Daily Threat Update is selected for the 2026-08-29 daily intelligence run because current public reporting describes activity or sector exposure that defenders should review within the next operating cycle. The core issue is public reporting on PX4 Autopilot CVE-2026-1579 and the need for UAS/drone operators to assess firmware/software exposure.</w:t>
      </w:r>
    </w:p>
    <w:p>
      <w:pPr>
        <w:spacing w:after="120" w:before="0"/>
        <w:jc w:val="left"/>
      </w:pPr>
      <w:r>
        <w:rPr>
          <w:rFonts w:ascii="Liberation Serif" w:hAnsi="Liberation Serif" w:eastAsia="Liberation Serif"/>
          <w:b w:val="0"/>
          <w:i w:val="0"/>
          <w:color w:val="000000"/>
          <w:sz w:val="20"/>
        </w:rPr>
        <w:t>The priority is not limited to direct victims named in media reporting. Organizations with similar technology, identity, supplier, managed-service, or aviation/aerospace dependencies should use this report to run targeted exposure checks and behavioral hunts.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Question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Current Answer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is the defender decision today?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Determine whether local technology, users, suppliers, or sector workflows match the reported exposure and run hunts.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Are hard IOCs available?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validated daily IOC set was available in this source bundle; detection is behavior/exposure oriented.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Is attribution confirmed?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This report avoids attribution beyond cited source language.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CVE.org</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Canonical CVE record to validate affected PX4 details.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PX4 Autopilot Security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Vendor/community security-contact and advisory location.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NVD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NVD enrichment and scoring location if populated.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CISA ICS Advisories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Monitor for UAS/ICS-relevant advisories.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Activity Overview</w:t>
      </w:r>
    </w:p>
    <w:p>
      <w:pPr>
        <w:spacing w:after="120" w:before="0"/>
        <w:jc w:val="left"/>
      </w:pPr>
      <w:r>
        <w:rPr>
          <w:rFonts w:ascii="Liberation Serif" w:hAnsi="Liberation Serif" w:eastAsia="Liberation Serif"/>
          <w:b w:val="0"/>
          <w:i w:val="0"/>
          <w:color w:val="000000"/>
          <w:sz w:val="20"/>
        </w:rPr>
        <w:t>The reporting cluster centers on public reporting on PX4 Autopilot CVE-2026-1579 and the need for UAS/drone operators to assess firmware/software exposure. Lost Boys Cyber treats this as a practical defensive issue: verify exposure, reduce reachable attack surface, and collect telemetry that confirms or disproves local compromise.</w:t>
      </w:r>
    </w:p>
    <w:p>
      <w:pPr>
        <w:pStyle w:val="Heading2"/>
        <w:spacing w:after="120" w:before="120"/>
        <w:jc w:val="left"/>
      </w:pPr>
      <w:r>
        <w:rPr>
          <w:rFonts w:ascii="Liberation Serif" w:hAnsi="Liberation Serif" w:eastAsia="Liberation Serif"/>
          <w:b/>
          <w:i w:val="0"/>
          <w:color w:val="123D63"/>
          <w:sz w:val="26"/>
        </w:rPr>
        <w:t>5. Affected Sectors and Exposure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Pattern</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Risk</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UAS operators, aerospace engineering labs, defense test ranges, aviation robotics programs.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High-priority environments should validate controls and third-party dependencies.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and privileged administration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Valid-account abuse can bypass perimeter prevention and accelerate lateral movement.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Shared suppliers and service providers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Single-provider compromise can create multi-organization blast radius.</w:t>
            </w:r>
          </w:p>
        </w:tc>
      </w:tr>
    </w:tbl>
    <w:p>
      <w:pPr>
        <w:pStyle w:val="Heading2"/>
        <w:spacing w:after="120" w:before="120"/>
        <w:jc w:val="left"/>
      </w:pPr>
      <w:r>
        <w:rPr>
          <w:rFonts w:ascii="Liberation Serif" w:hAnsi="Liberation Serif" w:eastAsia="Liberation Serif"/>
          <w:b/>
          <w:i w:val="0"/>
          <w:color w:val="123D63"/>
          <w:sz w:val="26"/>
        </w:rPr>
        <w:t>6. Aviation / Aerospace Sector Impact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Sector Element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Affected segment</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UAS operators, aerospace engineering labs, defense test ranges, aviation robotics programs.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Operational relevance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Disruption, fraud, credential compromise, or supplier impact can degrade flight operations, customer trust, maintenance workflows, or aerospace delivery chains even when aircraft safety systems are not directly targeted.</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Likely exposure paths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Third-party service providers, identity platforms, shared airport systems, internet-facing remote access, CI/CD, and contractor access.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Supply-chain considerations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managed service providers, software suppliers, ground handlers, reservation/loyalty vendors, and connectivity providers before assuming the issue is isolated.</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Defender actions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Inventory exposure, harden MFA and privileged access, review logs with the hunts below, and confirm vendor remediation.</w:t>
            </w:r>
          </w:p>
        </w:tc>
      </w:tr>
    </w:tbl>
    <w:p>
      <w:pPr>
        <w:pStyle w:val="Heading2"/>
        <w:spacing w:after="120" w:before="120"/>
        <w:jc w:val="left"/>
      </w:pPr>
      <w:r>
        <w:rPr>
          <w:rFonts w:ascii="Liberation Serif" w:hAnsi="Liberation Serif" w:eastAsia="Liberation Serif"/>
          <w:b/>
          <w:i w:val="0"/>
          <w:color w:val="123D63"/>
          <w:sz w:val="26"/>
        </w:rPr>
        <w:t>7.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Tactic / Phase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Observed 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Reconnaissance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Inventory UAS firmware/software versions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Exposure depends on deployed PX4 versions and integration architecture.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Access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Potential control-plane or maintenance-path abuse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 not assume aircraft impact without vendor-confirmed preconditions.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Mission disruption risk in UAS operations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Autopilot vulnerabilities matter most when reachable from maintenance, test, or telemetry networks.</w:t>
            </w:r>
          </w:p>
        </w:tc>
      </w:tr>
    </w:tbl>
    <w:p>
      <w:pPr>
        <w:pStyle w:val="Heading2"/>
        <w:spacing w:after="120" w:before="120"/>
        <w:jc w:val="left"/>
      </w:pPr>
      <w:r>
        <w:rPr>
          <w:rFonts w:ascii="Liberation Serif" w:hAnsi="Liberation Serif" w:eastAsia="Liberation Serif"/>
          <w:b/>
          <w:i w:val="0"/>
          <w:color w:val="123D63"/>
          <w:sz w:val="26"/>
        </w:rPr>
        <w:t>8.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Indicator / Infrastructure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Use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hard IOCs in this daily bundle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 limitation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Use behavioral hunts until validated IOCs are available.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Public-facing management, identity, developer, or sector-service endpoints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Exposure class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Prioritize asset inventory and logging.</w:t>
            </w:r>
          </w:p>
        </w:tc>
      </w:tr>
    </w:tbl>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Suspicious administrative or scripting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DeviceProcessEvents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hands-on-keyboard or automated intrusion behavior.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outbound connections from high-value services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DeviceNetworkEvents / proxy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payload staging, exfiltration, or C2.</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changes and failed/successful login anomalies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SigninLogs / AuditLogs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account takeover, help-desk abuse, or privilege escalation.</w:t>
            </w:r>
          </w:p>
        </w:tc>
      </w:tr>
    </w:tbl>
    <w:p>
      <w:pPr>
        <w:pStyle w:val="Heading3"/>
        <w:spacing w:after="80" w:before="80"/>
        <w:jc w:val="left"/>
      </w:pPr>
      <w:r>
        <w:rPr>
          <w:rFonts w:ascii="Liberation Serif" w:hAnsi="Liberation Serif" w:eastAsia="Liberation Serif"/>
          <w:b/>
          <w:i w:val="0"/>
          <w:color w:val="000000"/>
          <w:sz w:val="22"/>
        </w:rPr>
        <w:t>9.2. Sigma / Detection Content</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PX4 Autopilot UAS Exposure Daily Threat Behavior</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Behavior-oriented analytic for public reporting on PX4 Autopilot CVE-2026-1579 and the need for UAS/drone operators to assess firmware/software exposure.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suspicious_tools:</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'\rclone.exe'</w:t>
            </w:r>
          </w:p>
          <w:p>
            <w:pPr>
              <w:spacing w:before="0" w:after="0"/>
              <w:ind w:left="0"/>
            </w:pPr>
            <w:r/>
            <w:r>
              <w:rPr>
                <w:rFonts w:ascii="Liberation Mono" w:hAnsi="Liberation Mono" w:eastAsia="Liberation Mono"/>
                <w:color w:val="000000"/>
                <w:sz w:val="16"/>
              </w:rPr>
              <w:t xml:space="preserve">  suspicious_args:</w:t>
            </w:r>
          </w:p>
          <w:p>
            <w:pPr>
              <w:spacing w:before="0" w:after="0"/>
              <w:ind w:left="0"/>
            </w:pPr>
            <w:r/>
            <w:r>
              <w:rPr>
                <w:rFonts w:ascii="Liberation Mono" w:hAnsi="Liberation Mono" w:eastAsia="Liberation Mono"/>
                <w:color w:val="000000"/>
                <w:sz w:val="16"/>
              </w:rPr>
              <w:t xml:space="preserve">    CommandLine|contains:</w:t>
            </w:r>
          </w:p>
          <w:p>
            <w:pPr>
              <w:spacing w:before="0" w:after="0"/>
              <w:ind w:left="0"/>
            </w:pPr>
            <w:r/>
            <w:r>
              <w:rPr>
                <w:rFonts w:ascii="Liberation Mono" w:hAnsi="Liberation Mono" w:eastAsia="Liberation Mono"/>
                <w:color w:val="000000"/>
                <w:sz w:val="16"/>
              </w:rPr>
              <w:t xml:space="preserve">      - 'vssadmin delete shadows'</w:t>
            </w:r>
          </w:p>
          <w:p>
            <w:pPr>
              <w:spacing w:before="0" w:after="0"/>
              <w:ind w:left="0"/>
            </w:pPr>
            <w:r/>
            <w:r>
              <w:rPr>
                <w:rFonts w:ascii="Liberation Mono" w:hAnsi="Liberation Mono" w:eastAsia="Liberation Mono"/>
                <w:color w:val="000000"/>
                <w:sz w:val="16"/>
              </w:rPr>
              <w:t xml:space="preserve">      - 'wevtutil cl'</w:t>
            </w:r>
          </w:p>
          <w:p>
            <w:pPr>
              <w:spacing w:before="0" w:after="0"/>
              <w:ind w:left="0"/>
            </w:pPr>
            <w:r/>
            <w:r>
              <w:rPr>
                <w:rFonts w:ascii="Liberation Mono" w:hAnsi="Liberation Mono" w:eastAsia="Liberation Mono"/>
                <w:color w:val="000000"/>
                <w:sz w:val="16"/>
              </w:rPr>
              <w:t xml:space="preserve">      - 'curl '</w:t>
            </w:r>
          </w:p>
          <w:p>
            <w:pPr>
              <w:spacing w:before="0" w:after="0"/>
              <w:ind w:left="0"/>
            </w:pPr>
            <w:r/>
            <w:r>
              <w:rPr>
                <w:rFonts w:ascii="Liberation Mono" w:hAnsi="Liberation Mono" w:eastAsia="Liberation Mono"/>
                <w:color w:val="000000"/>
                <w:sz w:val="16"/>
              </w:rPr>
              <w:t xml:space="preserve">      - 'wget '</w:t>
            </w:r>
          </w:p>
          <w:p>
            <w:pPr>
              <w:spacing w:before="0" w:after="0"/>
              <w:ind w:left="0"/>
            </w:pPr>
            <w:r/>
            <w:r>
              <w:rPr>
                <w:rFonts w:ascii="Liberation Mono" w:hAnsi="Liberation Mono" w:eastAsia="Liberation Mono"/>
                <w:color w:val="000000"/>
                <w:sz w:val="16"/>
              </w:rPr>
              <w:t xml:space="preserve">      - 'Invoke-WebRequest'</w:t>
            </w:r>
          </w:p>
          <w:p>
            <w:pPr>
              <w:spacing w:before="0" w:after="0"/>
              <w:ind w:left="0"/>
            </w:pPr>
            <w:r/>
            <w:r>
              <w:rPr>
                <w:rFonts w:ascii="Liberation Mono" w:hAnsi="Liberation Mono" w:eastAsia="Liberation Mono"/>
                <w:color w:val="000000"/>
                <w:sz w:val="16"/>
              </w:rPr>
              <w:t xml:space="preserve">  condition: suspicious_tools or suspicious_args</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9.3.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 | where RemoteUrl has_any ('px4','mavlink','qgroundcontrol') or RemotePort in (14550,14551,5760)</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project Timestamp, DeviceName, FileName, InitiatingProcessFileName, ProcessCommandLine</w:t>
            </w:r>
          </w:p>
        </w:tc>
      </w:tr>
    </w:tbl>
    <w:p>
      <w:pPr>
        <w:pStyle w:val="Heading2"/>
        <w:spacing w:after="120" w:before="120"/>
        <w:jc w:val="left"/>
      </w:pPr>
      <w:r>
        <w:rPr>
          <w:rFonts w:ascii="Liberation Serif" w:hAnsi="Liberation Serif" w:eastAsia="Liberation Serif"/>
          <w:b/>
          <w:i w:val="0"/>
          <w:color w:val="123D63"/>
          <w:sz w:val="26"/>
        </w:rPr>
        <w:t>10. Threat Hunting</w:t>
      </w:r>
    </w:p>
    <w:p>
      <w:pPr>
        <w:pStyle w:val="Heading3"/>
        <w:spacing w:after="80" w:before="80"/>
        <w:jc w:val="left"/>
      </w:pPr>
      <w:r>
        <w:rPr>
          <w:rFonts w:ascii="Liberation Serif" w:hAnsi="Liberation Serif" w:eastAsia="Liberation Serif"/>
          <w:b/>
          <w:i w:val="0"/>
          <w:color w:val="000000"/>
          <w:sz w:val="22"/>
        </w:rPr>
        <w:t>10.1. Hunt Hypothesis</w:t>
      </w:r>
    </w:p>
    <w:p>
      <w:pPr>
        <w:spacing w:after="120" w:before="0"/>
        <w:jc w:val="left"/>
      </w:pPr>
      <w:r>
        <w:rPr>
          <w:rFonts w:ascii="Liberation Serif" w:hAnsi="Liberation Serif" w:eastAsia="Liberation Serif"/>
          <w:b w:val="0"/>
          <w:i w:val="0"/>
          <w:color w:val="000000"/>
          <w:sz w:val="20"/>
        </w:rPr>
        <w:t>Local environments matching the reported exposure will show anomalous scripting, identity, remote-access, or data-movement activity before any formal incident declaration.</w:t>
      </w:r>
    </w:p>
    <w:p>
      <w:pPr>
        <w:pStyle w:val="Heading3"/>
        <w:spacing w:after="80" w:before="80"/>
        <w:jc w:val="left"/>
      </w:pPr>
      <w:r>
        <w:rPr>
          <w:rFonts w:ascii="Liberation Serif" w:hAnsi="Liberation Serif" w:eastAsia="Liberation Serif"/>
          <w:b/>
          <w:i w:val="0"/>
          <w:color w:val="000000"/>
          <w:sz w:val="22"/>
        </w:rPr>
        <w:t>10.2.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 | where ProcessCommandLine has_any ('mavlink','qgroundcontrol','px4','ardupilot')</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summarize count(), min(Timestamp), max(Timestamp), make_set(RemoteUrl, 20) by DeviceName, InitiatingProcessFileName, InitiatingProcessAccountName</w:t>
            </w:r>
          </w:p>
          <w:p>
            <w:pPr>
              <w:spacing w:before="0" w:after="0"/>
              <w:ind w:left="0"/>
            </w:pPr>
            <w:r/>
            <w:r>
              <w:rPr>
                <w:rFonts w:ascii="Liberation Mono" w:hAnsi="Liberation Mono" w:eastAsia="Liberation Mono"/>
                <w:color w:val="000000"/>
                <w:sz w:val="16"/>
              </w:rPr>
              <w:t>| order by count_ desc</w:t>
            </w:r>
          </w:p>
        </w:tc>
      </w:tr>
    </w:tbl>
    <w:p>
      <w:pPr>
        <w:pStyle w:val="Heading2"/>
        <w:spacing w:after="120" w:before="120"/>
        <w:jc w:val="left"/>
      </w:pPr>
      <w:r>
        <w:rPr>
          <w:rFonts w:ascii="Liberation Serif" w:hAnsi="Liberation Serif" w:eastAsia="Liberation Serif"/>
          <w:b/>
          <w:i w:val="0"/>
          <w:color w:val="123D63"/>
          <w:sz w:val="26"/>
        </w:rPr>
        <w:t>11. Risk Assessment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Risk Driver</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Elevated where exposed technology or sector dependencies match the source reporting.</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Potential for ransomware, data theft, credential compromise, service disruption, or customer fraud depending on the topic.</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Low based on publicly available reporting and no private telemetry in this run.</w:t>
            </w:r>
          </w:p>
        </w:tc>
      </w:tr>
    </w:tbl>
    <w:p>
      <w:pPr>
        <w:pStyle w:val="Heading2"/>
        <w:spacing w:after="120" w:before="120"/>
        <w:jc w:val="left"/>
      </w:pPr>
      <w:r>
        <w:rPr>
          <w:rFonts w:ascii="Liberation Serif" w:hAnsi="Liberation Serif" w:eastAsia="Liberation Serif"/>
          <w:b/>
          <w:i w:val="0"/>
          <w:color w:val="123D63"/>
          <w:sz w:val="26"/>
        </w:rPr>
        <w:t>12. Recommended Actions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 / Platform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Confirm whether the reported technology, service provider, or workflow exists locally.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Execute the embedded KQL hunts and retain 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MFA, privileged access, help-desk reset paths, and third-party admin accounts.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Management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Ask suppliers for patch, breach, and monitoring attestations where relevant.</w:t>
            </w:r>
          </w:p>
        </w:tc>
      </w:tr>
    </w:tbl>
    <w:p>
      <w:pPr>
        <w:pStyle w:val="Heading2"/>
        <w:spacing w:after="120" w:before="120"/>
        <w:jc w:val="left"/>
      </w:pPr>
      <w:r>
        <w:rPr>
          <w:rFonts w:ascii="Liberation Serif" w:hAnsi="Liberation Serif" w:eastAsia="Liberation Serif"/>
          <w:b/>
          <w:i w:val="0"/>
          <w:color w:val="123D63"/>
          <w:sz w:val="26"/>
        </w:rPr>
        <w:t>13. References</w:t>
      </w:r>
    </w:p>
    <w:p>
      <w:pPr>
        <w:pStyle w:val="ListBullet"/>
        <w:spacing w:after="40" w:before="0"/>
        <w:jc w:val="left"/>
      </w:pPr>
      <w:r>
        <w:rPr>
          <w:rFonts w:ascii="Liberation Serif" w:hAnsi="Liberation Serif" w:eastAsia="Liberation Serif"/>
          <w:b w:val="0"/>
          <w:i w:val="0"/>
          <w:color w:val="000000"/>
          <w:sz w:val="20"/>
        </w:rPr>
        <w:t>[CVE.org](https://www.cve.org/CVERecord?id=CVE-2026-1579) — Canonical CVE record to validate affected PX4 details.</w:t>
      </w:r>
    </w:p>
    <w:p>
      <w:pPr>
        <w:pStyle w:val="ListBullet"/>
        <w:spacing w:after="40" w:before="0"/>
        <w:jc w:val="left"/>
      </w:pPr>
      <w:r>
        <w:rPr>
          <w:rFonts w:ascii="Liberation Serif" w:hAnsi="Liberation Serif" w:eastAsia="Liberation Serif"/>
          <w:b w:val="0"/>
          <w:i w:val="0"/>
          <w:color w:val="000000"/>
          <w:sz w:val="20"/>
        </w:rPr>
        <w:t>[PX4 Autopilot Security](https://px4.io/security/) — Vendor/community security-contact and advisory location.</w:t>
      </w:r>
    </w:p>
    <w:p>
      <w:pPr>
        <w:pStyle w:val="ListBullet"/>
        <w:spacing w:after="40" w:before="0"/>
        <w:jc w:val="left"/>
      </w:pPr>
      <w:r>
        <w:rPr>
          <w:rFonts w:ascii="Liberation Serif" w:hAnsi="Liberation Serif" w:eastAsia="Liberation Serif"/>
          <w:b w:val="0"/>
          <w:i w:val="0"/>
          <w:color w:val="000000"/>
          <w:sz w:val="20"/>
        </w:rPr>
        <w:t>[NVD](https://nvd.nist.gov/vuln/detail/CVE-2026-1579) — NVD enrichment and scoring location if populated.</w:t>
      </w:r>
    </w:p>
    <w:p>
      <w:pPr>
        <w:pStyle w:val="ListBullet"/>
        <w:spacing w:after="40" w:before="0"/>
        <w:jc w:val="left"/>
      </w:pPr>
      <w:r>
        <w:rPr>
          <w:rFonts w:ascii="Liberation Serif" w:hAnsi="Liberation Serif" w:eastAsia="Liberation Serif"/>
          <w:b w:val="0"/>
          <w:i w:val="0"/>
          <w:color w:val="000000"/>
          <w:sz w:val="20"/>
        </w:rPr>
        <w:t>[CISA ICS Advisories](https://www.cisa.gov/news-events/ics-advisories) — Monitor for UAS/ICS-relevant advisories.</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PX4 Autopilot UAS Exposure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