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Connected Aircraft and Satellite Network Cybersecurity Challenges Aviation Daily Threat Update</w:t>
      </w:r>
    </w:p>
    <w:p>
      <w:pPr>
        <w:spacing w:after="200" w:before="0"/>
        <w:jc w:val="left"/>
      </w:pPr>
      <w:r>
        <w:rPr>
          <w:rFonts w:ascii="Liberation Serif" w:hAnsi="Liberation Serif" w:eastAsia="Liberation Serif"/>
          <w:b w:val="0"/>
          <w:i w:val="0"/>
          <w:color w:val="000000"/>
          <w:sz w:val="20"/>
        </w:rPr>
        <w:t>Threat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2026-08-29</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Threat Report</w:t>
            </w:r>
          </w:p>
        </w:tc>
      </w:tr>
    </w:tbl>
    <w:p/>
    <w:p>
      <w:pPr>
        <w:spacing w:after="40" w:before="0"/>
        <w:jc w:val="left"/>
      </w:pPr>
      <w:r>
        <w:rPr>
          <w:rFonts w:ascii="Liberation Serif" w:hAnsi="Liberation Serif" w:eastAsia="Liberation Serif"/>
          <w:b w:val="0"/>
          <w:i w:val="0"/>
          <w:color w:val="123D63"/>
          <w:sz w:val="18"/>
        </w:rPr>
        <w:t>TLP:CLEAR | Lost Boys Cyber | Connected Aircraft and Satellite Network Cybersecurity Challenges Aviation Daily Threat Update - Threat Report</w:t>
      </w:r>
    </w:p>
    <w:p>
      <w:pPr>
        <w:spacing w:after="200" w:before="0"/>
        <w:jc w:val="left"/>
      </w:pPr>
      <w:r>
        <w:rPr>
          <w:rFonts w:ascii="Liberation Serif" w:hAnsi="Liberation Serif" w:eastAsia="Liberation Serif"/>
          <w:b w:val="0"/>
          <w:i w:val="0"/>
          <w:color w:val="000000"/>
          <w:sz w:val="18"/>
        </w:rPr>
        <w:t>Published: 2026-08-29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Intelligence Requirements</w:t>
      </w:r>
    </w:p>
    <w:p>
      <w:pPr>
        <w:spacing w:after="80" w:before="0"/>
        <w:ind w:left="0"/>
        <w:jc w:val="left"/>
      </w:pPr>
      <w:r>
        <w:rPr>
          <w:rFonts w:ascii="Liberation Serif" w:hAnsi="Liberation Serif" w:eastAsia="Liberation Serif"/>
          <w:b w:val="0"/>
          <w:i w:val="0"/>
          <w:color w:val="000000"/>
          <w:sz w:val="20"/>
        </w:rPr>
        <w:t>3. Source Review &amp; Confidence</w:t>
      </w:r>
    </w:p>
    <w:p>
      <w:pPr>
        <w:spacing w:after="80" w:before="0"/>
        <w:ind w:left="0"/>
        <w:jc w:val="left"/>
      </w:pPr>
      <w:r>
        <w:rPr>
          <w:rFonts w:ascii="Liberation Serif" w:hAnsi="Liberation Serif" w:eastAsia="Liberation Serif"/>
          <w:b w:val="0"/>
          <w:i w:val="0"/>
          <w:color w:val="000000"/>
          <w:sz w:val="20"/>
        </w:rPr>
        <w:t>4. Threat Activity Overview</w:t>
      </w:r>
    </w:p>
    <w:p>
      <w:pPr>
        <w:spacing w:after="80" w:before="0"/>
        <w:ind w:left="0"/>
        <w:jc w:val="left"/>
      </w:pPr>
      <w:r>
        <w:rPr>
          <w:rFonts w:ascii="Liberation Serif" w:hAnsi="Liberation Serif" w:eastAsia="Liberation Serif"/>
          <w:b w:val="0"/>
          <w:i w:val="0"/>
          <w:color w:val="000000"/>
          <w:sz w:val="20"/>
        </w:rPr>
        <w:t>5. Affected Sectors and Exposure</w:t>
      </w:r>
    </w:p>
    <w:p>
      <w:pPr>
        <w:spacing w:after="80" w:before="0"/>
        <w:ind w:left="0"/>
        <w:jc w:val="left"/>
      </w:pPr>
      <w:r>
        <w:rPr>
          <w:rFonts w:ascii="Liberation Serif" w:hAnsi="Liberation Serif" w:eastAsia="Liberation Serif"/>
          <w:b w:val="0"/>
          <w:i w:val="0"/>
          <w:color w:val="000000"/>
          <w:sz w:val="20"/>
        </w:rPr>
        <w:t>6. Aviation / Aerospace Sector Impact</w:t>
      </w:r>
    </w:p>
    <w:p>
      <w:pPr>
        <w:spacing w:after="80" w:before="0"/>
        <w:ind w:left="0"/>
        <w:jc w:val="left"/>
      </w:pPr>
      <w:r>
        <w:rPr>
          <w:rFonts w:ascii="Liberation Serif" w:hAnsi="Liberation Serif" w:eastAsia="Liberation Serif"/>
          <w:b w:val="0"/>
          <w:i w:val="0"/>
          <w:color w:val="000000"/>
          <w:sz w:val="20"/>
        </w:rPr>
        <w:t>7. Tactics, Techniques, and Procedures</w:t>
      </w:r>
    </w:p>
    <w:p>
      <w:pPr>
        <w:spacing w:after="80" w:before="0"/>
        <w:ind w:left="0"/>
        <w:jc w:val="left"/>
      </w:pPr>
      <w:r>
        <w:rPr>
          <w:rFonts w:ascii="Liberation Serif" w:hAnsi="Liberation Serif" w:eastAsia="Liberation Serif"/>
          <w:b w:val="0"/>
          <w:i w:val="0"/>
          <w:color w:val="000000"/>
          <w:sz w:val="20"/>
        </w:rPr>
        <w:t>8. Infrastructure and Indicators</w:t>
      </w:r>
    </w:p>
    <w:p>
      <w:pPr>
        <w:spacing w:after="80" w:before="0"/>
        <w:ind w:left="0"/>
        <w:jc w:val="left"/>
      </w:pPr>
      <w:r>
        <w:rPr>
          <w:rFonts w:ascii="Liberation Serif" w:hAnsi="Liberation Serif" w:eastAsia="Liberation Serif"/>
          <w:b w:val="0"/>
          <w:i w:val="0"/>
          <w:color w:val="000000"/>
          <w:sz w:val="20"/>
        </w:rPr>
        <w:t>9. Detection Engineering</w:t>
      </w:r>
    </w:p>
    <w:p>
      <w:pPr>
        <w:spacing w:after="80" w:before="0"/>
        <w:ind w:left="360"/>
        <w:jc w:val="left"/>
      </w:pPr>
      <w:r>
        <w:rPr>
          <w:rFonts w:ascii="Liberation Serif" w:hAnsi="Liberation Serif" w:eastAsia="Liberation Serif"/>
          <w:b w:val="0"/>
          <w:i w:val="0"/>
          <w:color w:val="000000"/>
          <w:sz w:val="20"/>
        </w:rPr>
        <w:t>9.1. Detection Summary</w:t>
      </w:r>
    </w:p>
    <w:p>
      <w:pPr>
        <w:spacing w:after="80" w:before="0"/>
        <w:ind w:left="360"/>
        <w:jc w:val="left"/>
      </w:pPr>
      <w:r>
        <w:rPr>
          <w:rFonts w:ascii="Liberation Serif" w:hAnsi="Liberation Serif" w:eastAsia="Liberation Serif"/>
          <w:b w:val="0"/>
          <w:i w:val="0"/>
          <w:color w:val="000000"/>
          <w:sz w:val="20"/>
        </w:rPr>
        <w:t>9.2. Sigma / Detection Content</w:t>
      </w:r>
    </w:p>
    <w:p>
      <w:pPr>
        <w:spacing w:after="80" w:before="0"/>
        <w:ind w:left="360"/>
        <w:jc w:val="left"/>
      </w:pPr>
      <w:r>
        <w:rPr>
          <w:rFonts w:ascii="Liberation Serif" w:hAnsi="Liberation Serif" w:eastAsia="Liberation Serif"/>
          <w:b w:val="0"/>
          <w:i w:val="0"/>
          <w:color w:val="000000"/>
          <w:sz w:val="20"/>
        </w:rPr>
        <w:t>9.3. Hunt Query</w:t>
      </w:r>
    </w:p>
    <w:p>
      <w:pPr>
        <w:spacing w:after="80" w:before="0"/>
        <w:ind w:left="0"/>
        <w:jc w:val="left"/>
      </w:pPr>
      <w:r>
        <w:rPr>
          <w:rFonts w:ascii="Liberation Serif" w:hAnsi="Liberation Serif" w:eastAsia="Liberation Serif"/>
          <w:b w:val="0"/>
          <w:i w:val="0"/>
          <w:color w:val="000000"/>
          <w:sz w:val="20"/>
        </w:rPr>
        <w:t>10. Threat Hunting</w:t>
      </w:r>
    </w:p>
    <w:p>
      <w:pPr>
        <w:spacing w:after="80" w:before="0"/>
        <w:ind w:left="360"/>
        <w:jc w:val="left"/>
      </w:pPr>
      <w:r>
        <w:rPr>
          <w:rFonts w:ascii="Liberation Serif" w:hAnsi="Liberation Serif" w:eastAsia="Liberation Serif"/>
          <w:b w:val="0"/>
          <w:i w:val="0"/>
          <w:color w:val="000000"/>
          <w:sz w:val="20"/>
        </w:rPr>
        <w:t>10.1. Hunt Hypothesis</w:t>
      </w:r>
    </w:p>
    <w:p>
      <w:pPr>
        <w:spacing w:after="80" w:before="0"/>
        <w:ind w:left="360"/>
        <w:jc w:val="left"/>
      </w:pPr>
      <w:r>
        <w:rPr>
          <w:rFonts w:ascii="Liberation Serif" w:hAnsi="Liberation Serif" w:eastAsia="Liberation Serif"/>
          <w:b w:val="0"/>
          <w:i w:val="0"/>
          <w:color w:val="000000"/>
          <w:sz w:val="20"/>
        </w:rPr>
        <w:t>10.2. Hunt Query</w:t>
      </w:r>
    </w:p>
    <w:p>
      <w:pPr>
        <w:spacing w:after="80" w:before="0"/>
        <w:ind w:left="0"/>
        <w:jc w:val="left"/>
      </w:pPr>
      <w:r>
        <w:rPr>
          <w:rFonts w:ascii="Liberation Serif" w:hAnsi="Liberation Serif" w:eastAsia="Liberation Serif"/>
          <w:b w:val="0"/>
          <w:i w:val="0"/>
          <w:color w:val="000000"/>
          <w:sz w:val="20"/>
        </w:rPr>
        <w:t>11. Risk Assessment</w:t>
      </w:r>
    </w:p>
    <w:p>
      <w:pPr>
        <w:spacing w:after="80" w:before="0"/>
        <w:ind w:left="0"/>
        <w:jc w:val="left"/>
      </w:pPr>
      <w:r>
        <w:rPr>
          <w:rFonts w:ascii="Liberation Serif" w:hAnsi="Liberation Serif" w:eastAsia="Liberation Serif"/>
          <w:b w:val="0"/>
          <w:i w:val="0"/>
          <w:color w:val="000000"/>
          <w:sz w:val="20"/>
        </w:rPr>
        <w:t>12. Recommended Actions</w:t>
      </w:r>
    </w:p>
    <w:p>
      <w:pPr>
        <w:spacing w:after="80" w:before="0"/>
        <w:ind w:left="0"/>
        <w:jc w:val="left"/>
      </w:pPr>
      <w:r>
        <w:rPr>
          <w:rFonts w:ascii="Liberation Serif" w:hAnsi="Liberation Serif" w:eastAsia="Liberation Serif"/>
          <w:b w:val="0"/>
          <w:i w:val="0"/>
          <w:color w:val="000000"/>
          <w:sz w:val="20"/>
        </w:rPr>
        <w:t>13.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Connected Aircraft and Satellite Network Cybersecurity Challenges Aviation Daily Threat Update</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Connected Aircraft and Satellite Network Cybersecurity Challenges Aviation Daily Threat Update is selected for the 2026-08-29 daily intelligence run because current public reporting describes activity or sector exposure that defenders should review within the next operating cycle. The core issue is growth in aviation cyber exposure through connected aircraft, satellite communications, identity compromise, and support networks.</w:t>
      </w:r>
    </w:p>
    <w:p>
      <w:pPr>
        <w:spacing w:after="120" w:before="0"/>
        <w:jc w:val="left"/>
      </w:pPr>
      <w:r>
        <w:rPr>
          <w:rFonts w:ascii="Liberation Serif" w:hAnsi="Liberation Serif" w:eastAsia="Liberation Serif"/>
          <w:b w:val="0"/>
          <w:i w:val="0"/>
          <w:color w:val="000000"/>
          <w:sz w:val="20"/>
        </w:rPr>
        <w:t>The priority is not limited to direct victims named in media reporting. Organizations with similar technology, identity, supplier, managed-service, or aviation/aerospace dependencies should use this report to run targeted exposure checks and behavioral hunts.</w:t>
      </w:r>
    </w:p>
    <w:p>
      <w:pPr>
        <w:pStyle w:val="Heading2"/>
        <w:spacing w:after="120" w:before="120"/>
        <w:jc w:val="left"/>
      </w:pPr>
      <w:r>
        <w:rPr>
          <w:rFonts w:ascii="Liberation Serif" w:hAnsi="Liberation Serif" w:eastAsia="Liberation Serif"/>
          <w:b/>
          <w:i w:val="0"/>
          <w:color w:val="123D63"/>
          <w:sz w:val="26"/>
        </w:rPr>
        <w:t>2. Intelligence Requirements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Question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Current Answer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is the defender decision today?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Determine whether local technology, users, suppliers, or sector workflows match the reported exposure and run hunts.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Are hard IOCs available?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validated daily IOC set was available in this source bundle; detection is behavior/exposure oriented.</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Is attribution confirmed?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This report avoids attribution beyond cited source language.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3. Source Review &amp;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Contribution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Military Aerospace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Reports increased attacks and connected-aircraft/satellite cybersecurity challenges.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PolySwarm</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Sector risk overview for satellite dependencies and GNSS interference.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SecurityWeek</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Historical context on exposed aviation satellite communications risk.</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EASA Cybersecurity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Regulatory/security context for aviation cyber resilience.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4. Threat Activity Overview</w:t>
      </w:r>
    </w:p>
    <w:p>
      <w:pPr>
        <w:spacing w:after="120" w:before="0"/>
        <w:jc w:val="left"/>
      </w:pPr>
      <w:r>
        <w:rPr>
          <w:rFonts w:ascii="Liberation Serif" w:hAnsi="Liberation Serif" w:eastAsia="Liberation Serif"/>
          <w:b w:val="0"/>
          <w:i w:val="0"/>
          <w:color w:val="000000"/>
          <w:sz w:val="20"/>
        </w:rPr>
        <w:t>The reporting cluster centers on growth in aviation cyber exposure through connected aircraft, satellite communications, identity compromise, and support networks. Lost Boys Cyber treats this as a practical defensive issue: verify exposure, reduce reachable attack surface, and collect telemetry that confirms or disproves local compromise.</w:t>
      </w:r>
    </w:p>
    <w:p>
      <w:pPr>
        <w:pStyle w:val="Heading2"/>
        <w:spacing w:after="120" w:before="120"/>
        <w:jc w:val="left"/>
      </w:pPr>
      <w:r>
        <w:rPr>
          <w:rFonts w:ascii="Liberation Serif" w:hAnsi="Liberation Serif" w:eastAsia="Liberation Serif"/>
          <w:b/>
          <w:i w:val="0"/>
          <w:color w:val="123D63"/>
          <w:sz w:val="26"/>
        </w:rPr>
        <w:t>5. Affected Sectors and Exposure</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Exposure Pattern</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Risk</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Aircraft connectivity providers, SATCOM, airline IT/OT, satellite/space systems, military and commercial aerospace.</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High-priority environments should validate controls and third-party dependencies.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and privileged administration</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Valid-account abuse can bypass perimeter prevention and accelerate lateral movement.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Shared suppliers and service providers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Single-provider compromise can create multi-organization blast radius.</w:t>
            </w:r>
          </w:p>
        </w:tc>
      </w:tr>
    </w:tbl>
    <w:p>
      <w:pPr>
        <w:pStyle w:val="Heading2"/>
        <w:spacing w:after="120" w:before="120"/>
        <w:jc w:val="left"/>
      </w:pPr>
      <w:r>
        <w:rPr>
          <w:rFonts w:ascii="Liberation Serif" w:hAnsi="Liberation Serif" w:eastAsia="Liberation Serif"/>
          <w:b/>
          <w:i w:val="0"/>
          <w:color w:val="123D63"/>
          <w:sz w:val="26"/>
        </w:rPr>
        <w:t>6. Aviation / Aerospace Sector Impact</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Sector Element</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Affected segment</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Aircraft connectivity providers, SATCOM, airline IT/OT, satellite/space systems, military and commercial aerospace.</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Operational relevance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Disruption, fraud, credential compromise, or supplier impact can degrade flight operations, customer trust, maintenance workflows, or aerospace delivery chains even when aircraft safety systems are not directly targeted.</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Likely exposure paths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Third-party service providers, identity platforms, shared airport systems, internet-facing remote access, CI/CD, and contractor access.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Supply-chain considerations</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managed service providers, software suppliers, ground handlers, reservation/loyalty vendors, and connectivity providers before assuming the issue is isolated.</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Defender actions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Inventory exposure, harden MFA and privileged access, review logs with the hunts below, and confirm vendor remediation.</w:t>
            </w:r>
          </w:p>
        </w:tc>
      </w:tr>
    </w:tbl>
    <w:p>
      <w:pPr>
        <w:pStyle w:val="Heading2"/>
        <w:spacing w:after="120" w:before="120"/>
        <w:jc w:val="left"/>
      </w:pPr>
      <w:r>
        <w:rPr>
          <w:rFonts w:ascii="Liberation Serif" w:hAnsi="Liberation Serif" w:eastAsia="Liberation Serif"/>
          <w:b/>
          <w:i w:val="0"/>
          <w:color w:val="123D63"/>
          <w:sz w:val="26"/>
        </w:rPr>
        <w:t>7. Tactics, Techniques, and Procedures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Tactic / Phase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Observed Technique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Evidence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Reconnaissance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Mapping externally exposed aviation connectivity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 reporting emphasizes exposure discovery and connected systems.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Initial Access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Credential/remote-service abuse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Sector incidents often begin in supporting IT rather than avionics.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Operational disruption risk</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Connectivity and satellite services support flight operations, passenger service, and maintenance.</w:t>
            </w:r>
          </w:p>
        </w:tc>
      </w:tr>
    </w:tbl>
    <w:p>
      <w:pPr>
        <w:pStyle w:val="Heading2"/>
        <w:spacing w:after="120" w:before="120"/>
        <w:jc w:val="left"/>
      </w:pPr>
      <w:r>
        <w:rPr>
          <w:rFonts w:ascii="Liberation Serif" w:hAnsi="Liberation Serif" w:eastAsia="Liberation Serif"/>
          <w:b/>
          <w:i w:val="0"/>
          <w:color w:val="123D63"/>
          <w:sz w:val="26"/>
        </w:rPr>
        <w:t>8. Infrastructure and Indicators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Indicator / Infrastructure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Type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Use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hard IOCs in this daily bundle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Source limitation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Use behavioral hunts until validated IOCs are available.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Public-facing management, identity, developer, or sector-service endpoints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Exposure class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Prioritize asset inventory and logging.</w:t>
            </w:r>
          </w:p>
        </w:tc>
      </w:tr>
    </w:tbl>
    <w:p>
      <w:pPr>
        <w:pStyle w:val="Heading2"/>
        <w:spacing w:after="120" w:before="120"/>
        <w:jc w:val="left"/>
      </w:pPr>
      <w:r>
        <w:rPr>
          <w:rFonts w:ascii="Liberation Serif" w:hAnsi="Liberation Serif" w:eastAsia="Liberation Serif"/>
          <w:b/>
          <w:i w:val="0"/>
          <w:color w:val="123D63"/>
          <w:sz w:val="26"/>
        </w:rPr>
        <w:t>9. Detection Engineering</w:t>
      </w:r>
    </w:p>
    <w:p>
      <w:pPr>
        <w:pStyle w:val="Heading3"/>
        <w:spacing w:after="80" w:before="80"/>
        <w:jc w:val="left"/>
      </w:pPr>
      <w:r>
        <w:rPr>
          <w:rFonts w:ascii="Liberation Serif" w:hAnsi="Liberation Serif" w:eastAsia="Liberation Serif"/>
          <w:b/>
          <w:i w:val="0"/>
          <w:color w:val="000000"/>
          <w:sz w:val="22"/>
        </w:rPr>
        <w:t>9.1. Detection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 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Analytic Goal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Suspicious administrative or scripting activity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DeviceProcessEvents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hands-on-keyboard or automated intrusion behavior.</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Unusual outbound connections from high-value services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DeviceNetworkEvents / proxy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payload staging, exfiltration, or C2.</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changes and failed/successful login anomalies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SigninLogs / AuditLogs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 account takeover, help-desk abuse, or privilege escalation.</w:t>
            </w:r>
          </w:p>
        </w:tc>
      </w:tr>
    </w:tbl>
    <w:p>
      <w:pPr>
        <w:pStyle w:val="Heading3"/>
        <w:spacing w:after="80" w:before="80"/>
        <w:jc w:val="left"/>
      </w:pPr>
      <w:r>
        <w:rPr>
          <w:rFonts w:ascii="Liberation Serif" w:hAnsi="Liberation Serif" w:eastAsia="Liberation Serif"/>
          <w:b/>
          <w:i w:val="0"/>
          <w:color w:val="000000"/>
          <w:sz w:val="22"/>
        </w:rPr>
        <w:t>9.2. Sigma / Detection Content</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Connected Aircraft and Satellite Exposure Daily Threat Behavior</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description: Behavior-oriented analytic for growth in aviation cyber exposure through connected aircraft, satellite communications, identity compromise, and support networks.</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product: windows</w:t>
            </w:r>
          </w:p>
          <w:p>
            <w:pPr>
              <w:spacing w:before="0" w:after="0"/>
              <w:ind w:left="0"/>
            </w:pPr>
            <w:r/>
            <w:r>
              <w:rPr>
                <w:rFonts w:ascii="Liberation Mono" w:hAnsi="Liberation Mono" w:eastAsia="Liberation Mono"/>
                <w:color w:val="000000"/>
                <w:sz w:val="16"/>
              </w:rPr>
              <w:t xml:space="preserve">  category: process_creation</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suspicious_tools:</w:t>
            </w:r>
          </w:p>
          <w:p>
            <w:pPr>
              <w:spacing w:before="0" w:after="0"/>
              <w:ind w:left="0"/>
            </w:pPr>
            <w:r/>
            <w:r>
              <w:rPr>
                <w:rFonts w:ascii="Liberation Mono" w:hAnsi="Liberation Mono" w:eastAsia="Liberation Mono"/>
                <w:color w:val="000000"/>
                <w:sz w:val="16"/>
              </w:rPr>
              <w:t xml:space="preserve">    Image|endswith:</w:t>
            </w:r>
          </w:p>
          <w:p>
            <w:pPr>
              <w:spacing w:before="0" w:after="0"/>
              <w:ind w:left="0"/>
            </w:pPr>
            <w:r/>
            <w:r>
              <w:rPr>
                <w:rFonts w:ascii="Liberation Mono" w:hAnsi="Liberation Mono" w:eastAsia="Liberation Mono"/>
                <w:color w:val="000000"/>
                <w:sz w:val="16"/>
              </w:rPr>
              <w:t xml:space="preserve">      - '\powershell.exe'</w:t>
            </w:r>
          </w:p>
          <w:p>
            <w:pPr>
              <w:spacing w:before="0" w:after="0"/>
              <w:ind w:left="0"/>
            </w:pPr>
            <w:r/>
            <w:r>
              <w:rPr>
                <w:rFonts w:ascii="Liberation Mono" w:hAnsi="Liberation Mono" w:eastAsia="Liberation Mono"/>
                <w:color w:val="000000"/>
                <w:sz w:val="16"/>
              </w:rPr>
              <w:t xml:space="preserve">      - '\cmd.exe'</w:t>
            </w:r>
          </w:p>
          <w:p>
            <w:pPr>
              <w:spacing w:before="0" w:after="0"/>
              <w:ind w:left="0"/>
            </w:pPr>
            <w:r/>
            <w:r>
              <w:rPr>
                <w:rFonts w:ascii="Liberation Mono" w:hAnsi="Liberation Mono" w:eastAsia="Liberation Mono"/>
                <w:color w:val="000000"/>
                <w:sz w:val="16"/>
              </w:rPr>
              <w:t xml:space="preserve">      - '\wscript.exe'</w:t>
            </w:r>
          </w:p>
          <w:p>
            <w:pPr>
              <w:spacing w:before="0" w:after="0"/>
              <w:ind w:left="0"/>
            </w:pPr>
            <w:r/>
            <w:r>
              <w:rPr>
                <w:rFonts w:ascii="Liberation Mono" w:hAnsi="Liberation Mono" w:eastAsia="Liberation Mono"/>
                <w:color w:val="000000"/>
                <w:sz w:val="16"/>
              </w:rPr>
              <w:t xml:space="preserve">      - '\cscript.exe'</w:t>
            </w:r>
          </w:p>
          <w:p>
            <w:pPr>
              <w:spacing w:before="0" w:after="0"/>
              <w:ind w:left="0"/>
            </w:pPr>
            <w:r/>
            <w:r>
              <w:rPr>
                <w:rFonts w:ascii="Liberation Mono" w:hAnsi="Liberation Mono" w:eastAsia="Liberation Mono"/>
                <w:color w:val="000000"/>
                <w:sz w:val="16"/>
              </w:rPr>
              <w:t xml:space="preserve">      - '\rclone.exe'</w:t>
            </w:r>
          </w:p>
          <w:p>
            <w:pPr>
              <w:spacing w:before="0" w:after="0"/>
              <w:ind w:left="0"/>
            </w:pPr>
            <w:r/>
            <w:r>
              <w:rPr>
                <w:rFonts w:ascii="Liberation Mono" w:hAnsi="Liberation Mono" w:eastAsia="Liberation Mono"/>
                <w:color w:val="000000"/>
                <w:sz w:val="16"/>
              </w:rPr>
              <w:t xml:space="preserve">  suspicious_args:</w:t>
            </w:r>
          </w:p>
          <w:p>
            <w:pPr>
              <w:spacing w:before="0" w:after="0"/>
              <w:ind w:left="0"/>
            </w:pPr>
            <w:r/>
            <w:r>
              <w:rPr>
                <w:rFonts w:ascii="Liberation Mono" w:hAnsi="Liberation Mono" w:eastAsia="Liberation Mono"/>
                <w:color w:val="000000"/>
                <w:sz w:val="16"/>
              </w:rPr>
              <w:t xml:space="preserve">    CommandLine|contains:</w:t>
            </w:r>
          </w:p>
          <w:p>
            <w:pPr>
              <w:spacing w:before="0" w:after="0"/>
              <w:ind w:left="0"/>
            </w:pPr>
            <w:r/>
            <w:r>
              <w:rPr>
                <w:rFonts w:ascii="Liberation Mono" w:hAnsi="Liberation Mono" w:eastAsia="Liberation Mono"/>
                <w:color w:val="000000"/>
                <w:sz w:val="16"/>
              </w:rPr>
              <w:t xml:space="preserve">      - 'vssadmin delete shadows'</w:t>
            </w:r>
          </w:p>
          <w:p>
            <w:pPr>
              <w:spacing w:before="0" w:after="0"/>
              <w:ind w:left="0"/>
            </w:pPr>
            <w:r/>
            <w:r>
              <w:rPr>
                <w:rFonts w:ascii="Liberation Mono" w:hAnsi="Liberation Mono" w:eastAsia="Liberation Mono"/>
                <w:color w:val="000000"/>
                <w:sz w:val="16"/>
              </w:rPr>
              <w:t xml:space="preserve">      - 'wevtutil cl'</w:t>
            </w:r>
          </w:p>
          <w:p>
            <w:pPr>
              <w:spacing w:before="0" w:after="0"/>
              <w:ind w:left="0"/>
            </w:pPr>
            <w:r/>
            <w:r>
              <w:rPr>
                <w:rFonts w:ascii="Liberation Mono" w:hAnsi="Liberation Mono" w:eastAsia="Liberation Mono"/>
                <w:color w:val="000000"/>
                <w:sz w:val="16"/>
              </w:rPr>
              <w:t xml:space="preserve">      - 'curl '</w:t>
            </w:r>
          </w:p>
          <w:p>
            <w:pPr>
              <w:spacing w:before="0" w:after="0"/>
              <w:ind w:left="0"/>
            </w:pPr>
            <w:r/>
            <w:r>
              <w:rPr>
                <w:rFonts w:ascii="Liberation Mono" w:hAnsi="Liberation Mono" w:eastAsia="Liberation Mono"/>
                <w:color w:val="000000"/>
                <w:sz w:val="16"/>
              </w:rPr>
              <w:t xml:space="preserve">      - 'wget '</w:t>
            </w:r>
          </w:p>
          <w:p>
            <w:pPr>
              <w:spacing w:before="0" w:after="0"/>
              <w:ind w:left="0"/>
            </w:pPr>
            <w:r/>
            <w:r>
              <w:rPr>
                <w:rFonts w:ascii="Liberation Mono" w:hAnsi="Liberation Mono" w:eastAsia="Liberation Mono"/>
                <w:color w:val="000000"/>
                <w:sz w:val="16"/>
              </w:rPr>
              <w:t xml:space="preserve">      - 'Invoke-WebRequest'</w:t>
            </w:r>
          </w:p>
          <w:p>
            <w:pPr>
              <w:spacing w:before="0" w:after="0"/>
              <w:ind w:left="0"/>
            </w:pPr>
            <w:r/>
            <w:r>
              <w:rPr>
                <w:rFonts w:ascii="Liberation Mono" w:hAnsi="Liberation Mono" w:eastAsia="Liberation Mono"/>
                <w:color w:val="000000"/>
                <w:sz w:val="16"/>
              </w:rPr>
              <w:t xml:space="preserve">  condition: suspicious_tools or suspicious_args</w:t>
            </w:r>
          </w:p>
          <w:p>
            <w:pPr>
              <w:spacing w:before="0" w:after="0"/>
              <w:ind w:left="0"/>
            </w:pPr>
            <w:r/>
            <w:r>
              <w:rPr>
                <w:rFonts w:ascii="Liberation Mono" w:hAnsi="Liberation Mono" w:eastAsia="Liberation Mono"/>
                <w:color w:val="000000"/>
                <w:sz w:val="16"/>
              </w:rPr>
              <w:t>level: high</w:t>
            </w:r>
          </w:p>
        </w:tc>
      </w:tr>
    </w:tbl>
    <w:p>
      <w:pPr>
        <w:pStyle w:val="Heading3"/>
        <w:spacing w:after="80" w:before="80"/>
        <w:jc w:val="left"/>
      </w:pPr>
      <w:r>
        <w:rPr>
          <w:rFonts w:ascii="Liberation Serif" w:hAnsi="Liberation Serif" w:eastAsia="Liberation Serif"/>
          <w:b/>
          <w:i w:val="0"/>
          <w:color w:val="000000"/>
          <w:sz w:val="22"/>
        </w:rPr>
        <w:t>9.3. Hunt Query</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DeviceNetworkEvents | where RemoteUrl has_any ('satcom','aviation','aircraft','gnss') and InitiatingProcessFileName in~ ('powershell.exe','python.exe','curl.exe')</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project Timestamp, DeviceName, FileName, InitiatingProcessFileName, ProcessCommandLine</w:t>
            </w:r>
          </w:p>
        </w:tc>
      </w:tr>
    </w:tbl>
    <w:p>
      <w:pPr>
        <w:pStyle w:val="Heading2"/>
        <w:spacing w:after="120" w:before="120"/>
        <w:jc w:val="left"/>
      </w:pPr>
      <w:r>
        <w:rPr>
          <w:rFonts w:ascii="Liberation Serif" w:hAnsi="Liberation Serif" w:eastAsia="Liberation Serif"/>
          <w:b/>
          <w:i w:val="0"/>
          <w:color w:val="123D63"/>
          <w:sz w:val="26"/>
        </w:rPr>
        <w:t>10. Threat Hunting</w:t>
      </w:r>
    </w:p>
    <w:p>
      <w:pPr>
        <w:pStyle w:val="Heading3"/>
        <w:spacing w:after="80" w:before="80"/>
        <w:jc w:val="left"/>
      </w:pPr>
      <w:r>
        <w:rPr>
          <w:rFonts w:ascii="Liberation Serif" w:hAnsi="Liberation Serif" w:eastAsia="Liberation Serif"/>
          <w:b/>
          <w:i w:val="0"/>
          <w:color w:val="000000"/>
          <w:sz w:val="22"/>
        </w:rPr>
        <w:t>10.1. Hunt Hypothesis</w:t>
      </w:r>
    </w:p>
    <w:p>
      <w:pPr>
        <w:spacing w:after="120" w:before="0"/>
        <w:jc w:val="left"/>
      </w:pPr>
      <w:r>
        <w:rPr>
          <w:rFonts w:ascii="Liberation Serif" w:hAnsi="Liberation Serif" w:eastAsia="Liberation Serif"/>
          <w:b w:val="0"/>
          <w:i w:val="0"/>
          <w:color w:val="000000"/>
          <w:sz w:val="20"/>
        </w:rPr>
        <w:t>Local environments matching the reported exposure will show anomalous scripting, identity, remote-access, or data-movement activity before any formal incident declaration.</w:t>
      </w:r>
    </w:p>
    <w:p>
      <w:pPr>
        <w:pStyle w:val="Heading3"/>
        <w:spacing w:after="80" w:before="80"/>
        <w:jc w:val="left"/>
      </w:pPr>
      <w:r>
        <w:rPr>
          <w:rFonts w:ascii="Liberation Serif" w:hAnsi="Liberation Serif" w:eastAsia="Liberation Serif"/>
          <w:b/>
          <w:i w:val="0"/>
          <w:color w:val="000000"/>
          <w:sz w:val="22"/>
        </w:rPr>
        <w:t>10.2. Hunt Query</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SigninLogs | where AppDisplayName has_any ('VPN','Remote Desktop','Satellite','Maintenance') and RiskLevelDuringSignIn in ('medium','high')</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summarize count(), min(Timestamp), max(Timestamp), make_set(RemoteUrl, 20) by DeviceName, InitiatingProcessFileName, InitiatingProcessAccountName</w:t>
            </w:r>
          </w:p>
          <w:p>
            <w:pPr>
              <w:spacing w:before="0" w:after="0"/>
              <w:ind w:left="0"/>
            </w:pPr>
            <w:r/>
            <w:r>
              <w:rPr>
                <w:rFonts w:ascii="Liberation Mono" w:hAnsi="Liberation Mono" w:eastAsia="Liberation Mono"/>
                <w:color w:val="000000"/>
                <w:sz w:val="16"/>
              </w:rPr>
              <w:t>| order by count_ desc</w:t>
            </w:r>
          </w:p>
        </w:tc>
      </w:tr>
    </w:tbl>
    <w:p>
      <w:pPr>
        <w:pStyle w:val="Heading2"/>
        <w:spacing w:after="120" w:before="120"/>
        <w:jc w:val="left"/>
      </w:pPr>
      <w:r>
        <w:rPr>
          <w:rFonts w:ascii="Liberation Serif" w:hAnsi="Liberation Serif" w:eastAsia="Liberation Serif"/>
          <w:b/>
          <w:i w:val="0"/>
          <w:color w:val="123D63"/>
          <w:sz w:val="26"/>
        </w:rPr>
        <w:t>11. Risk Assessment</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Risk Driver</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Likelihood</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Elevated where exposed technology or sector dependencies match the source reporting.</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Potential for ransomware, data theft, credential compromise, service disruption, or customer fraud depending on the topic.</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Confidence</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based on publicly available reporting and no private telemetry in this run.</w:t>
            </w:r>
          </w:p>
        </w:tc>
      </w:tr>
    </w:tbl>
    <w:p>
      <w:pPr>
        <w:pStyle w:val="Heading2"/>
        <w:spacing w:after="120" w:before="120"/>
        <w:jc w:val="left"/>
      </w:pPr>
      <w:r>
        <w:rPr>
          <w:rFonts w:ascii="Liberation Serif" w:hAnsi="Liberation Serif" w:eastAsia="Liberation Serif"/>
          <w:b/>
          <w:i w:val="0"/>
          <w:color w:val="123D63"/>
          <w:sz w:val="26"/>
        </w:rPr>
        <w:t>12. Recommended Actions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Priority</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Owner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Action</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Critical</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Asset / Platform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Confirm whether the reported technology, service provider, or workflow exists locally.</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Execute the embedded KQL hunts and retain evidence.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MFA, privileged access, help-desk reset paths, and third-party admin accounts.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Vendor Management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Ask suppliers for patch, breach, and monitoring attestations where relevant.</w:t>
            </w:r>
          </w:p>
        </w:tc>
      </w:tr>
    </w:tbl>
    <w:p>
      <w:pPr>
        <w:pStyle w:val="Heading2"/>
        <w:spacing w:after="120" w:before="120"/>
        <w:jc w:val="left"/>
      </w:pPr>
      <w:r>
        <w:rPr>
          <w:rFonts w:ascii="Liberation Serif" w:hAnsi="Liberation Serif" w:eastAsia="Liberation Serif"/>
          <w:b/>
          <w:i w:val="0"/>
          <w:color w:val="123D63"/>
          <w:sz w:val="26"/>
        </w:rPr>
        <w:t>13. References</w:t>
      </w:r>
    </w:p>
    <w:p>
      <w:pPr>
        <w:pStyle w:val="ListBullet"/>
        <w:spacing w:after="40" w:before="0"/>
        <w:jc w:val="left"/>
      </w:pPr>
      <w:r>
        <w:rPr>
          <w:rFonts w:ascii="Liberation Serif" w:hAnsi="Liberation Serif" w:eastAsia="Liberation Serif"/>
          <w:b w:val="0"/>
          <w:i w:val="0"/>
          <w:color w:val="000000"/>
          <w:sz w:val="20"/>
        </w:rPr>
        <w:t>[Military Aerospace](https://www.militaryaerospace.com/commercial-aerospace/news/55385521/cybersecurity-challenges-grow-across-connected-aircraft-and-satellite-networks) — Reports increased attacks and connected-aircraft/satellite cybersecurity challenges.</w:t>
      </w:r>
    </w:p>
    <w:p>
      <w:pPr>
        <w:pStyle w:val="ListBullet"/>
        <w:spacing w:after="40" w:before="0"/>
        <w:jc w:val="left"/>
      </w:pPr>
      <w:r>
        <w:rPr>
          <w:rFonts w:ascii="Liberation Serif" w:hAnsi="Liberation Serif" w:eastAsia="Liberation Serif"/>
          <w:b w:val="0"/>
          <w:i w:val="0"/>
          <w:color w:val="000000"/>
          <w:sz w:val="20"/>
        </w:rPr>
        <w:t>[PolySwarm](https://blog.polyswarm.io/turbulence-ahead-cyber-threats-targeting-aviation-and-aerospace-in-2026) — Sector risk overview for satellite dependencies and GNSS interference.</w:t>
      </w:r>
    </w:p>
    <w:p>
      <w:pPr>
        <w:pStyle w:val="ListBullet"/>
        <w:spacing w:after="40" w:before="0"/>
        <w:jc w:val="left"/>
      </w:pPr>
      <w:r>
        <w:rPr>
          <w:rFonts w:ascii="Liberation Serif" w:hAnsi="Liberation Serif" w:eastAsia="Liberation Serif"/>
          <w:b w:val="0"/>
          <w:i w:val="0"/>
          <w:color w:val="000000"/>
          <w:sz w:val="20"/>
        </w:rPr>
        <w:t>[SecurityWeek](https://www.securityweek.com/researcher-finds-hundreds-planes-exposed-remote-attacks/) — Historical context on exposed aviation satellite communications risk.</w:t>
      </w:r>
    </w:p>
    <w:p>
      <w:pPr>
        <w:pStyle w:val="ListBullet"/>
        <w:spacing w:after="40" w:before="0"/>
        <w:jc w:val="left"/>
      </w:pPr>
      <w:r>
        <w:rPr>
          <w:rFonts w:ascii="Liberation Serif" w:hAnsi="Liberation Serif" w:eastAsia="Liberation Serif"/>
          <w:b w:val="0"/>
          <w:i w:val="0"/>
          <w:color w:val="000000"/>
          <w:sz w:val="20"/>
        </w:rPr>
        <w:t>[EASA Cybersecurity](https://www.easa.europa.eu/en/domains/cybersecurity) — Regulatory/security context for aviation cyber resilience.</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Connected Aircraft and Satellite Exposure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