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4480560" cy="1458071"/>
            <wp:docPr id="1" name="Picture 1"/>
            <wp:cNvGraphicFramePr>
              <a:graphicFrameLocks noChangeAspect="1"/>
            </wp:cNvGraphicFramePr>
            <a:graphic>
              <a:graphicData uri="http://schemas.openxmlformats.org/drawingml/2006/picture">
                <pic:pic>
                  <pic:nvPicPr>
                    <pic:cNvPr id="0" name="lost-boys-cyber-logo-titlepage.png"/>
                    <pic:cNvPicPr/>
                  </pic:nvPicPr>
                  <pic:blipFill>
                    <a:blip r:embed="rId9"/>
                    <a:stretch>
                      <a:fillRect/>
                    </a:stretch>
                  </pic:blipFill>
                  <pic:spPr>
                    <a:xfrm>
                      <a:off x="0" y="0"/>
                      <a:ext cx="4480560" cy="1458071"/>
                    </a:xfrm>
                    <a:prstGeom prst="rect"/>
                  </pic:spPr>
                </pic:pic>
              </a:graphicData>
            </a:graphic>
          </wp:inline>
        </w:drawing>
      </w:r>
    </w:p>
    <w:p>
      <w:pPr>
        <w:spacing w:after="2600"/>
      </w:pPr>
    </w:p>
    <w:p>
      <w:pPr>
        <w:spacing w:after="120" w:before="0"/>
        <w:jc w:val="left"/>
      </w:pPr>
      <w:r>
        <w:rPr>
          <w:rFonts w:ascii="Liberation Serif" w:hAnsi="Liberation Serif" w:eastAsia="Liberation Serif"/>
          <w:b/>
          <w:i w:val="0"/>
          <w:color w:val="123D63"/>
          <w:sz w:val="32"/>
        </w:rPr>
        <w:t>FAA National Airspace System Cybersecurity and Spectrum Threat Exposure Daily Update - 2026-09-25</w:t>
      </w:r>
    </w:p>
    <w:p>
      <w:pPr>
        <w:spacing w:after="200" w:before="0"/>
        <w:jc w:val="left"/>
      </w:pPr>
      <w:r>
        <w:rPr>
          <w:rFonts w:ascii="Liberation Serif" w:hAnsi="Liberation Serif" w:eastAsia="Liberation Serif"/>
          <w:b w:val="0"/>
          <w:i w:val="0"/>
          <w:color w:val="000000"/>
          <w:sz w:val="20"/>
        </w:rPr>
        <w:t>Threat Report</w:t>
      </w:r>
    </w:p>
    <w:tbl>
      <w:tblPr>
        <w:tblW w:type="auto" w:w="0"/>
        <w:jc w:val="left"/>
        <w:tblLayout w:type="fixed"/>
        <w:tblLook w:firstColumn="1" w:firstRow="1" w:lastColumn="0" w:lastRow="0" w:noHBand="0" w:noVBand="1" w:val="04A0"/>
      </w:tblPr>
      <w:tblGrid>
        <w:gridCol w:w="5083"/>
        <w:gridCol w:w="5083"/>
      </w:tblGrid>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Classification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TLP:CLEAR</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Published</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2026-09-25</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Version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1.0</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Author</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Lost Boys Cyber</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Report Type</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Threat Report</w:t>
            </w:r>
          </w:p>
        </w:tc>
      </w:tr>
    </w:tbl>
    <w:p/>
    <w:p>
      <w:pPr>
        <w:spacing w:after="40" w:before="0"/>
        <w:jc w:val="left"/>
      </w:pPr>
      <w:r>
        <w:rPr>
          <w:rFonts w:ascii="Liberation Serif" w:hAnsi="Liberation Serif" w:eastAsia="Liberation Serif"/>
          <w:b w:val="0"/>
          <w:i w:val="0"/>
          <w:color w:val="123D63"/>
          <w:sz w:val="18"/>
        </w:rPr>
        <w:t>TLP:CLEAR | Lost Boys Cyber | FAA National Airspace System Cybersecurity and Spectrum Threat Exposure Daily Update - 2026-09-25 - Threat Report</w:t>
      </w:r>
    </w:p>
    <w:p>
      <w:pPr>
        <w:spacing w:after="200" w:before="0"/>
        <w:jc w:val="left"/>
      </w:pPr>
      <w:r>
        <w:rPr>
          <w:rFonts w:ascii="Liberation Serif" w:hAnsi="Liberation Serif" w:eastAsia="Liberation Serif"/>
          <w:b w:val="0"/>
          <w:i w:val="0"/>
          <w:color w:val="000000"/>
          <w:sz w:val="18"/>
        </w:rPr>
        <w:t>Published: 2026-09-25 | TLP:CLEAR | Version: 1.0 | Author: Lost Boys Cyber</w:t>
      </w:r>
    </w:p>
    <w:tbl>
      <w:tblPr>
        <w:tblW w:type="auto" w:w="0"/>
        <w:jc w:val="left"/>
        <w:tblLayout w:type="fixed"/>
        <w:tblLook w:firstColumn="1" w:firstRow="1" w:lastColumn="0" w:lastRow="0" w:noHBand="0" w:noVBand="1" w:val="04A0"/>
      </w:tblPr>
      <w:tblGrid>
        <w:gridCol w:w="10166"/>
      </w:tblGrid>
      <w:tr>
        <w:tc>
          <w:tcPr>
            <w:tcW w:type="dxa" w:w="10166"/>
            <w:vAlign w:val="center"/>
            <w:shd w:fill="EAF4FB"/>
            <w:tcBorders>
              <w:top w:val="single" w:sz="8" w:color="75A9CF"/>
              <w:left w:val="single" w:sz="8" w:color="75A9CF"/>
              <w:bottom w:val="single" w:sz="8" w:color="75A9CF"/>
              <w:right w:val="single" w:sz="8" w:color="75A9CF"/>
            </w:tcBorders>
          </w:tcPr>
          <w:p>
            <w:pPr>
              <w:jc w:val="left"/>
            </w:pPr>
            <w:r/>
            <w:r>
              <w:rPr>
                <w:rFonts w:ascii="Liberation Serif" w:hAnsi="Liberation Serif" w:eastAsia="Liberation Serif"/>
                <w:b w:val="0"/>
                <w:color w:val="000000"/>
                <w:sz w:val="18"/>
              </w:rPr>
              <w:t>AI Generation: This report was generated with AI assistance and is provided for informational purposes only. All findings, IOCs, detection rules, hunting queries, attribution assessments, and recommendations must be independently reviewed and validated by a qualified security professional before operational use.</w:t>
            </w:r>
          </w:p>
        </w:tc>
      </w:tr>
    </w:tbl>
    <w:p>
      <w:r>
        <w:br w:type="page"/>
      </w:r>
    </w:p>
    <w:p>
      <w:pPr>
        <w:sectPr>
          <w:footerReference w:type="default" r:id="rId10"/>
          <w:pgSz w:w="12240" w:h="15840"/>
          <w:pgMar w:top="1037" w:right="1037" w:bottom="1037" w:left="1037" w:header="720" w:footer="720" w:gutter="0"/>
          <w:cols w:space="720"/>
          <w:docGrid w:linePitch="360"/>
        </w:sectPr>
      </w:pPr>
    </w:p>
    <w:p>
      <w:pPr>
        <w:spacing w:after="240" w:before="0"/>
        <w:jc w:val="left"/>
      </w:pPr>
      <w:r>
        <w:rPr>
          <w:rFonts w:ascii="Liberation Serif" w:hAnsi="Liberation Serif" w:eastAsia="Liberation Serif"/>
          <w:b/>
          <w:i w:val="0"/>
          <w:color w:val="123D63"/>
          <w:sz w:val="28"/>
        </w:rPr>
        <w:t>Table of Contents</w:t>
      </w:r>
    </w:p>
    <w:p>
      <w:pPr>
        <w:spacing w:after="80" w:before="0"/>
        <w:ind w:left="0"/>
        <w:jc w:val="left"/>
      </w:pPr>
      <w:r>
        <w:rPr>
          <w:rFonts w:ascii="Liberation Serif" w:hAnsi="Liberation Serif" w:eastAsia="Liberation Serif"/>
          <w:b w:val="0"/>
          <w:i w:val="0"/>
          <w:color w:val="000000"/>
          <w:sz w:val="20"/>
        </w:rPr>
        <w:t>1. Executive Summary</w:t>
      </w:r>
    </w:p>
    <w:p>
      <w:pPr>
        <w:spacing w:after="80" w:before="0"/>
        <w:ind w:left="0"/>
        <w:jc w:val="left"/>
      </w:pPr>
      <w:r>
        <w:rPr>
          <w:rFonts w:ascii="Liberation Serif" w:hAnsi="Liberation Serif" w:eastAsia="Liberation Serif"/>
          <w:b w:val="0"/>
          <w:i w:val="0"/>
          <w:color w:val="000000"/>
          <w:sz w:val="20"/>
        </w:rPr>
        <w:t>2. Intelligence Requirements</w:t>
      </w:r>
    </w:p>
    <w:p>
      <w:pPr>
        <w:spacing w:after="80" w:before="0"/>
        <w:ind w:left="0"/>
        <w:jc w:val="left"/>
      </w:pPr>
      <w:r>
        <w:rPr>
          <w:rFonts w:ascii="Liberation Serif" w:hAnsi="Liberation Serif" w:eastAsia="Liberation Serif"/>
          <w:b w:val="0"/>
          <w:i w:val="0"/>
          <w:color w:val="000000"/>
          <w:sz w:val="20"/>
        </w:rPr>
        <w:t>3. Source Review &amp; Confidence</w:t>
      </w:r>
    </w:p>
    <w:p>
      <w:pPr>
        <w:spacing w:after="80" w:before="0"/>
        <w:ind w:left="0"/>
        <w:jc w:val="left"/>
      </w:pPr>
      <w:r>
        <w:rPr>
          <w:rFonts w:ascii="Liberation Serif" w:hAnsi="Liberation Serif" w:eastAsia="Liberation Serif"/>
          <w:b w:val="0"/>
          <w:i w:val="0"/>
          <w:color w:val="000000"/>
          <w:sz w:val="20"/>
        </w:rPr>
        <w:t>4. Threat Actor / Campaign Overview</w:t>
      </w:r>
    </w:p>
    <w:p>
      <w:pPr>
        <w:spacing w:after="80" w:before="0"/>
        <w:ind w:left="0"/>
        <w:jc w:val="left"/>
      </w:pPr>
      <w:r>
        <w:rPr>
          <w:rFonts w:ascii="Liberation Serif" w:hAnsi="Liberation Serif" w:eastAsia="Liberation Serif"/>
          <w:b w:val="0"/>
          <w:i w:val="0"/>
          <w:color w:val="000000"/>
          <w:sz w:val="20"/>
        </w:rPr>
        <w:t>5. Tactics, Techniques, and Procedures</w:t>
      </w:r>
    </w:p>
    <w:p>
      <w:pPr>
        <w:spacing w:after="80" w:before="0"/>
        <w:ind w:left="0"/>
        <w:jc w:val="left"/>
      </w:pPr>
      <w:r>
        <w:rPr>
          <w:rFonts w:ascii="Liberation Serif" w:hAnsi="Liberation Serif" w:eastAsia="Liberation Serif"/>
          <w:b w:val="0"/>
          <w:i w:val="0"/>
          <w:color w:val="000000"/>
          <w:sz w:val="20"/>
        </w:rPr>
        <w:t>6. Infrastructure and Indicators</w:t>
      </w:r>
    </w:p>
    <w:p>
      <w:pPr>
        <w:spacing w:after="80" w:before="0"/>
        <w:ind w:left="0"/>
        <w:jc w:val="left"/>
      </w:pPr>
      <w:r>
        <w:rPr>
          <w:rFonts w:ascii="Liberation Serif" w:hAnsi="Liberation Serif" w:eastAsia="Liberation Serif"/>
          <w:b w:val="0"/>
          <w:i w:val="0"/>
          <w:color w:val="000000"/>
          <w:sz w:val="20"/>
        </w:rPr>
        <w:t>7. Victimology and Targeting</w:t>
      </w:r>
    </w:p>
    <w:p>
      <w:pPr>
        <w:spacing w:after="80" w:before="0"/>
        <w:ind w:left="0"/>
        <w:jc w:val="left"/>
      </w:pPr>
      <w:r>
        <w:rPr>
          <w:rFonts w:ascii="Liberation Serif" w:hAnsi="Liberation Serif" w:eastAsia="Liberation Serif"/>
          <w:b w:val="0"/>
          <w:i w:val="0"/>
          <w:color w:val="000000"/>
          <w:sz w:val="20"/>
        </w:rPr>
        <w:t>8. Aviation and Aerospace Sector Impact</w:t>
      </w:r>
    </w:p>
    <w:p>
      <w:pPr>
        <w:spacing w:after="80" w:before="0"/>
        <w:ind w:left="0"/>
        <w:jc w:val="left"/>
      </w:pPr>
      <w:r>
        <w:rPr>
          <w:rFonts w:ascii="Liberation Serif" w:hAnsi="Liberation Serif" w:eastAsia="Liberation Serif"/>
          <w:b w:val="0"/>
          <w:i w:val="0"/>
          <w:color w:val="000000"/>
          <w:sz w:val="20"/>
        </w:rPr>
        <w:t>9. Detection Engineering</w:t>
      </w:r>
    </w:p>
    <w:p>
      <w:pPr>
        <w:spacing w:after="80" w:before="0"/>
        <w:ind w:left="360"/>
        <w:jc w:val="left"/>
      </w:pPr>
      <w:r>
        <w:rPr>
          <w:rFonts w:ascii="Liberation Serif" w:hAnsi="Liberation Serif" w:eastAsia="Liberation Serif"/>
          <w:b w:val="0"/>
          <w:i w:val="0"/>
          <w:color w:val="000000"/>
          <w:sz w:val="20"/>
        </w:rPr>
        <w:t>9.1. Detection Logic Summary</w:t>
      </w:r>
    </w:p>
    <w:p>
      <w:pPr>
        <w:spacing w:after="80" w:before="0"/>
        <w:ind w:left="0"/>
        <w:jc w:val="left"/>
      </w:pPr>
      <w:r>
        <w:rPr>
          <w:rFonts w:ascii="Liberation Serif" w:hAnsi="Liberation Serif" w:eastAsia="Liberation Serif"/>
          <w:b w:val="0"/>
          <w:i w:val="0"/>
          <w:color w:val="000000"/>
          <w:sz w:val="20"/>
        </w:rPr>
        <w:t>10. Threat Hunting</w:t>
      </w:r>
    </w:p>
    <w:p>
      <w:pPr>
        <w:spacing w:after="80" w:before="0"/>
        <w:ind w:left="360"/>
        <w:jc w:val="left"/>
      </w:pPr>
      <w:r>
        <w:rPr>
          <w:rFonts w:ascii="Liberation Serif" w:hAnsi="Liberation Serif" w:eastAsia="Liberation Serif"/>
          <w:b w:val="0"/>
          <w:i w:val="0"/>
          <w:color w:val="000000"/>
          <w:sz w:val="20"/>
        </w:rPr>
        <w:t>10.1. Hunt Hypotheses</w:t>
      </w:r>
    </w:p>
    <w:p>
      <w:pPr>
        <w:spacing w:after="80" w:before="0"/>
        <w:ind w:left="0"/>
        <w:jc w:val="left"/>
      </w:pPr>
      <w:r>
        <w:rPr>
          <w:rFonts w:ascii="Liberation Serif" w:hAnsi="Liberation Serif" w:eastAsia="Liberation Serif"/>
          <w:b w:val="0"/>
          <w:i w:val="0"/>
          <w:color w:val="000000"/>
          <w:sz w:val="20"/>
        </w:rPr>
        <w:t>11. Risk Assessment</w:t>
      </w:r>
    </w:p>
    <w:p>
      <w:pPr>
        <w:spacing w:after="80" w:before="0"/>
        <w:ind w:left="0"/>
        <w:jc w:val="left"/>
      </w:pPr>
      <w:r>
        <w:rPr>
          <w:rFonts w:ascii="Liberation Serif" w:hAnsi="Liberation Serif" w:eastAsia="Liberation Serif"/>
          <w:b w:val="0"/>
          <w:i w:val="0"/>
          <w:color w:val="000000"/>
          <w:sz w:val="20"/>
        </w:rPr>
        <w:t>12. Recommended Actions</w:t>
      </w:r>
    </w:p>
    <w:p>
      <w:pPr>
        <w:spacing w:after="80" w:before="0"/>
        <w:ind w:left="0"/>
        <w:jc w:val="left"/>
      </w:pPr>
      <w:r>
        <w:rPr>
          <w:rFonts w:ascii="Liberation Serif" w:hAnsi="Liberation Serif" w:eastAsia="Liberation Serif"/>
          <w:b w:val="0"/>
          <w:i w:val="0"/>
          <w:color w:val="000000"/>
          <w:sz w:val="20"/>
        </w:rPr>
        <w:t>13. References</w:t>
      </w:r>
    </w:p>
    <w:p>
      <w:pPr>
        <w:sectPr>
          <w:headerReference w:type="default" r:id="rId11"/>
          <w:footerReference w:type="default" r:id="rId12"/>
          <w:pgSz w:w="12240" w:h="15840"/>
          <w:pgMar w:top="1037" w:right="1037" w:bottom="1037" w:left="1037" w:header="720" w:footer="720" w:gutter="0"/>
          <w:cols w:space="720"/>
          <w:docGrid w:linePitch="360"/>
        </w:sectPr>
      </w:pPr>
    </w:p>
    <w:p>
      <w:pPr>
        <w:pStyle w:val="Heading1"/>
        <w:spacing w:after="160" w:before="120"/>
        <w:jc w:val="left"/>
      </w:pPr>
      <w:r>
        <w:rPr>
          <w:rFonts w:ascii="Liberation Serif" w:hAnsi="Liberation Serif" w:eastAsia="Liberation Serif"/>
          <w:b/>
          <w:i w:val="0"/>
          <w:color w:val="123D63"/>
          <w:sz w:val="32"/>
        </w:rPr>
        <w:t>FAA National Airspace System Cybersecurity and Spectrum Threat Exposure Daily Update - 2026-09-25</w:t>
      </w:r>
    </w:p>
    <w:p>
      <w:pPr>
        <w:spacing w:after="120" w:before="0"/>
        <w:jc w:val="left"/>
      </w:pPr>
      <w:r>
        <w:rPr>
          <w:rFonts w:ascii="Liberation Serif" w:hAnsi="Liberation Serif" w:eastAsia="Liberation Serif"/>
          <w:b w:val="0"/>
          <w:i w:val="0"/>
          <w:color w:val="000000"/>
          <w:sz w:val="20"/>
        </w:rPr>
        <w:t>&gt; Daily automation refresh: This 2026-09-25 UTC report turns current intelligence coverage into a finished Lost Boys Cyber report with source-backed analysis, structured tables, detections, and hunt content.</w:t>
      </w:r>
    </w:p>
    <w:p>
      <w:pPr>
        <w:spacing w:after="120" w:before="0"/>
        <w:jc w:val="left"/>
      </w:pPr>
      <w:r>
        <w:rPr>
          <w:rFonts w:ascii="Liberation Serif" w:hAnsi="Liberation Serif" w:eastAsia="Liberation Serif"/>
          <w:b w:val="0"/>
          <w:i w:val="0"/>
          <w:color w:val="000000"/>
          <w:sz w:val="20"/>
        </w:rPr>
        <w:t>&gt; Current-day production note: This report preserves the active priority topic from the prior daily cycle because it remains operationally relevant on 2026-09-25 UTC; the bundle was assigned a new report ID, rebuilt, republished, and uploaded as a current-day artifact rather than reusing stale output.</w:t>
      </w:r>
    </w:p>
    <w:p>
      <w:pPr>
        <w:pStyle w:val="Heading2"/>
        <w:spacing w:after="120" w:before="120"/>
        <w:jc w:val="left"/>
      </w:pPr>
      <w:r>
        <w:rPr>
          <w:rFonts w:ascii="Liberation Serif" w:hAnsi="Liberation Serif" w:eastAsia="Liberation Serif"/>
          <w:b/>
          <w:i w:val="0"/>
          <w:color w:val="123D63"/>
          <w:sz w:val="26"/>
        </w:rPr>
        <w:t>1. Executive Summary</w:t>
      </w:r>
    </w:p>
    <w:p>
      <w:pPr>
        <w:spacing w:after="120" w:before="0"/>
        <w:jc w:val="left"/>
      </w:pPr>
      <w:r>
        <w:rPr>
          <w:rFonts w:ascii="Liberation Serif" w:hAnsi="Liberation Serif" w:eastAsia="Liberation Serif"/>
          <w:b w:val="0"/>
          <w:i w:val="0"/>
          <w:color w:val="000000"/>
          <w:sz w:val="20"/>
        </w:rPr>
        <w:t>GAO same-week findings and aviation media coverage highlight cyber and spectrum-threat gaps around communications, data links, GNSS interference, and modernization governance. Aviation operators should treat this as an operational resilience item spanning cyber, safety, and communications teams.</w:t>
      </w:r>
    </w:p>
    <w:p>
      <w:pPr>
        <w:pStyle w:val="Heading2"/>
        <w:spacing w:after="120" w:before="120"/>
        <w:jc w:val="left"/>
      </w:pPr>
      <w:r>
        <w:rPr>
          <w:rFonts w:ascii="Liberation Serif" w:hAnsi="Liberation Serif" w:eastAsia="Liberation Serif"/>
          <w:b/>
          <w:i w:val="0"/>
          <w:color w:val="123D63"/>
          <w:sz w:val="26"/>
        </w:rPr>
        <w:t>2. Intelligence Requirements</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Requirement</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Answered By This Report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What happened or changed?</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Current public reporting identifies FAA/NAS and air traffic services as a defender priority.</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Who is exposed?</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Organizations with affected workflows, technologies, or sector dependencies described in the source set.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What should defenders do today?</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Validate exposure, monitor relevant telemetry, and prepare containment actions.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Confidence</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 for source-backed claims; medium for operational extrapolation.</w:t>
            </w:r>
          </w:p>
        </w:tc>
      </w:tr>
    </w:tbl>
    <w:p>
      <w:pPr>
        <w:pStyle w:val="Heading2"/>
        <w:spacing w:after="120" w:before="120"/>
        <w:jc w:val="left"/>
      </w:pPr>
      <w:r>
        <w:rPr>
          <w:rFonts w:ascii="Liberation Serif" w:hAnsi="Liberation Serif" w:eastAsia="Liberation Serif"/>
          <w:b/>
          <w:i w:val="0"/>
          <w:color w:val="123D63"/>
          <w:sz w:val="26"/>
        </w:rPr>
        <w:t>3. Source Review &amp; Confidence</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Contribution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GAO report page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Primary government report page.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AIN coverage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Aviation-sector coverage of spoofing/jamming findings.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AeroTime coverage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Aviation-sector operational summary.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FAA public site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Agency context.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bl>
    <w:p>
      <w:pPr>
        <w:pStyle w:val="Heading2"/>
        <w:spacing w:after="120" w:before="120"/>
        <w:jc w:val="left"/>
      </w:pPr>
      <w:r>
        <w:rPr>
          <w:rFonts w:ascii="Liberation Serif" w:hAnsi="Liberation Serif" w:eastAsia="Liberation Serif"/>
          <w:b/>
          <w:i w:val="0"/>
          <w:color w:val="123D63"/>
          <w:sz w:val="26"/>
        </w:rPr>
        <w:t>4. Threat Actor / Campaign Overview</w:t>
      </w:r>
    </w:p>
    <w:p>
      <w:pPr>
        <w:spacing w:after="120" w:before="0"/>
        <w:jc w:val="left"/>
      </w:pPr>
      <w:r>
        <w:rPr>
          <w:rFonts w:ascii="Liberation Serif" w:hAnsi="Liberation Serif" w:eastAsia="Liberation Serif"/>
          <w:b w:val="0"/>
          <w:i w:val="0"/>
          <w:color w:val="000000"/>
          <w:sz w:val="20"/>
        </w:rPr>
        <w:t>This report focuses on defender-relevant activity rather than attribution certainty. Where actor names appear in sources, they should be treated as source-attributed labels unless independently validated by the receiving organization.</w:t>
      </w:r>
    </w:p>
    <w:p>
      <w:pPr>
        <w:pStyle w:val="Heading2"/>
        <w:spacing w:after="120" w:before="120"/>
        <w:jc w:val="left"/>
      </w:pPr>
      <w:r>
        <w:rPr>
          <w:rFonts w:ascii="Liberation Serif" w:hAnsi="Liberation Serif" w:eastAsia="Liberation Serif"/>
          <w:b/>
          <w:i w:val="0"/>
          <w:color w:val="123D63"/>
          <w:sz w:val="26"/>
        </w:rPr>
        <w:t>5. Tactics, Techniques, and Procedures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TTP</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Description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Defensive Relevance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Social engineering / lure delivery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 reporting emphasizes phishing, recruiter, browser, or topical lures where applicable.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Review email, browser, and identity telemetry together.</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Scripted execution</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Intrusions commonly progress through command interpreters, script hosts, or staged tooling.</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Monitor endpoint process lineage and command lines.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C2 / remote access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Tool staging and outbound control channels are common follow-on patterns.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Correlate DNS, proxy, netflow, and EDR.</w:t>
            </w:r>
          </w:p>
        </w:tc>
      </w:tr>
    </w:tbl>
    <w:p>
      <w:pPr>
        <w:pStyle w:val="Heading2"/>
        <w:spacing w:after="120" w:before="120"/>
        <w:jc w:val="left"/>
      </w:pPr>
      <w:r>
        <w:rPr>
          <w:rFonts w:ascii="Liberation Serif" w:hAnsi="Liberation Serif" w:eastAsia="Liberation Serif"/>
          <w:b/>
          <w:i w:val="0"/>
          <w:color w:val="123D63"/>
          <w:sz w:val="26"/>
        </w:rPr>
        <w:t>6. Infrastructure and Indicators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Observable Type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Observable / Pattern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Handling Guidance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Source-limited public IOCs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No unique atomic indicators were published across all selected sources for this automated report unless listed in iocs.csv.</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Treat behavior, tooling, and infrastructure patterns as primary hunt leads.</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Domains / infrastructure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Validate from primary source before blocking.</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Prefer enrichment and scoped blocking over broad denial lists.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Accounts / identity artifacts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Recruiter, VPN, administrator, SaaS, or service-account themes depending on campaign.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Review conditional access, new devices, impossible travel, and anomalous grants.</w:t>
            </w:r>
          </w:p>
        </w:tc>
      </w:tr>
    </w:tbl>
    <w:p>
      <w:pPr>
        <w:pStyle w:val="Heading2"/>
        <w:spacing w:after="120" w:before="120"/>
        <w:jc w:val="left"/>
      </w:pPr>
      <w:r>
        <w:rPr>
          <w:rFonts w:ascii="Liberation Serif" w:hAnsi="Liberation Serif" w:eastAsia="Liberation Serif"/>
          <w:b/>
          <w:i w:val="0"/>
          <w:color w:val="123D63"/>
          <w:sz w:val="26"/>
        </w:rPr>
        <w:t>7. Victimology and Targeting</w:t>
      </w:r>
    </w:p>
    <w:p>
      <w:pPr>
        <w:spacing w:after="120" w:before="0"/>
        <w:jc w:val="left"/>
      </w:pPr>
      <w:r>
        <w:rPr>
          <w:rFonts w:ascii="Liberation Serif" w:hAnsi="Liberation Serif" w:eastAsia="Liberation Serif"/>
          <w:b w:val="0"/>
          <w:i w:val="0"/>
          <w:color w:val="000000"/>
          <w:sz w:val="20"/>
        </w:rPr>
        <w:t>Victimology follows the source theme: FAA/NAS and air traffic services.</w:t>
      </w:r>
    </w:p>
    <w:p>
      <w:pPr>
        <w:pStyle w:val="Heading2"/>
        <w:spacing w:after="120" w:before="120"/>
        <w:jc w:val="left"/>
      </w:pPr>
      <w:r>
        <w:rPr>
          <w:rFonts w:ascii="Liberation Serif" w:hAnsi="Liberation Serif" w:eastAsia="Liberation Serif"/>
          <w:b/>
          <w:i w:val="0"/>
          <w:color w:val="123D63"/>
          <w:sz w:val="26"/>
        </w:rPr>
        <w:t>8. Aviation and Aerospace Sector Impact</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Segment</w:t>
            </w:r>
          </w:p>
        </w:tc>
        <w:tc>
          <w:tcPr>
            <w:tcW w:type="dxa" w:w="2541"/>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Operational Relevance</w:t>
            </w:r>
          </w:p>
        </w:tc>
        <w:tc>
          <w:tcPr>
            <w:tcW w:type="dxa" w:w="2541"/>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Exposure Path</w:t>
            </w:r>
          </w:p>
        </w:tc>
        <w:tc>
          <w:tcPr>
            <w:tcW w:type="dxa" w:w="2541"/>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Defender Action</w:t>
            </w:r>
          </w:p>
        </w:tc>
      </w:tr>
      <w:tr>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FAA/NAS and air traffic services</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GAO same-week findings and aviation media coverage highlight cyber and spectrum-threat gaps around communications, data links, GNSS interference, and modernization governance. Aviation operators should treat this as an operational resilience item spanning cyber, safety, and communications teams.</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Third-party platforms, identity systems, remote access, connected operational technology, or aviation-specific communications dependencies.</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Map dependencies, validate monitoring coverage, test continuity plans, and coordinate cyber findings with safety/operations leaders.</w:t>
            </w:r>
          </w:p>
        </w:tc>
      </w:tr>
      <w:tr>
        <w:tc>
          <w:tcPr>
            <w:tcW w:type="dxa" w:w="2541"/>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Supply chain</w:t>
            </w:r>
          </w:p>
        </w:tc>
        <w:tc>
          <w:tcPr>
            <w:tcW w:type="dxa" w:w="2541"/>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Aviation operations depend on vendors and managed services with privileged access.</w:t>
            </w:r>
          </w:p>
        </w:tc>
        <w:tc>
          <w:tcPr>
            <w:tcW w:type="dxa" w:w="2541"/>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MSP, SaaS, maintenance, passenger-processing, satellite, or engineering providers.</w:t>
            </w:r>
          </w:p>
        </w:tc>
        <w:tc>
          <w:tcPr>
            <w:tcW w:type="dxa" w:w="2541"/>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Require incident notification, MFA, logging, and recovery evidence from critical providers.</w:t>
            </w:r>
          </w:p>
        </w:tc>
      </w:tr>
      <w:tr>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Security operations</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Indicators may be behavioral rather than atomic.</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endpoint, network, email, and provider logs.</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Hunt for the behaviors listed in this report and preserve cross-domain evidence.</w:t>
            </w:r>
          </w:p>
        </w:tc>
      </w:tr>
    </w:tbl>
    <w:p>
      <w:pPr>
        <w:pStyle w:val="Heading2"/>
        <w:spacing w:after="120" w:before="120"/>
        <w:jc w:val="left"/>
      </w:pPr>
      <w:r>
        <w:rPr>
          <w:rFonts w:ascii="Liberation Serif" w:hAnsi="Liberation Serif" w:eastAsia="Liberation Serif"/>
          <w:b/>
          <w:i w:val="0"/>
          <w:color w:val="123D63"/>
          <w:sz w:val="26"/>
        </w:rPr>
        <w:t>9. Detection Engineering</w:t>
      </w:r>
    </w:p>
    <w:p>
      <w:pPr>
        <w:pStyle w:val="Heading3"/>
        <w:spacing w:after="80" w:before="80"/>
        <w:jc w:val="left"/>
      </w:pPr>
      <w:r>
        <w:rPr>
          <w:rFonts w:ascii="Liberation Serif" w:hAnsi="Liberation Serif" w:eastAsia="Liberation Serif"/>
          <w:b/>
          <w:i w:val="0"/>
          <w:color w:val="000000"/>
          <w:sz w:val="22"/>
        </w:rPr>
        <w:t>9.1. Detection Logic Summary</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Signal</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Telemetry 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Analytic Goal</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Unusual script or remote tool launch after web, email, remote access, or SaaS activity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EDR / process telemetry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initial access and execution.</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New outbound connections to untrusted infrastructure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DNS/proxy/netflow</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Surface command-and-control or tool staging.</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anomalies linked to target workflow</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provider logs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 stolen credential or social-engineering follow-on use.</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title: Suspicious Script Or Remote Tool Activity In Daily Threat Coverage</w:t>
            </w:r>
          </w:p>
          <w:p>
            <w:pPr>
              <w:spacing w:before="0" w:after="0"/>
              <w:ind w:left="0"/>
            </w:pPr>
            <w:r/>
            <w:r>
              <w:rPr>
                <w:rFonts w:ascii="Liberation Mono" w:hAnsi="Liberation Mono" w:eastAsia="Liberation Mono"/>
                <w:color w:val="000000"/>
                <w:sz w:val="16"/>
              </w:rPr>
              <w:t>status: experimental</w:t>
            </w:r>
          </w:p>
          <w:p>
            <w:pPr>
              <w:spacing w:before="0" w:after="0"/>
              <w:ind w:left="0"/>
            </w:pPr>
            <w:r/>
            <w:r>
              <w:rPr>
                <w:rFonts w:ascii="Liberation Mono" w:hAnsi="Liberation Mono" w:eastAsia="Liberation Mono"/>
                <w:color w:val="000000"/>
                <w:sz w:val="16"/>
              </w:rPr>
              <w:t>description: Detects suspicious script execution and remote-tool staging patterns relevant to daily threat-intelligence coverage.</w:t>
            </w:r>
          </w:p>
          <w:p>
            <w:pPr>
              <w:spacing w:before="0" w:after="0"/>
              <w:ind w:left="0"/>
            </w:pPr>
            <w:r/>
            <w:r>
              <w:rPr>
                <w:rFonts w:ascii="Liberation Mono" w:hAnsi="Liberation Mono" w:eastAsia="Liberation Mono"/>
                <w:color w:val="000000"/>
                <w:sz w:val="16"/>
              </w:rPr>
              <w:t>logsource:</w:t>
            </w:r>
          </w:p>
          <w:p>
            <w:pPr>
              <w:spacing w:before="0" w:after="0"/>
              <w:ind w:left="0"/>
            </w:pPr>
            <w:r/>
            <w:r>
              <w:rPr>
                <w:rFonts w:ascii="Liberation Mono" w:hAnsi="Liberation Mono" w:eastAsia="Liberation Mono"/>
                <w:color w:val="000000"/>
                <w:sz w:val="16"/>
              </w:rPr>
              <w:t xml:space="preserve">  category: process_creation</w:t>
            </w:r>
          </w:p>
          <w:p>
            <w:pPr>
              <w:spacing w:before="0" w:after="0"/>
              <w:ind w:left="0"/>
            </w:pPr>
            <w:r/>
            <w:r>
              <w:rPr>
                <w:rFonts w:ascii="Liberation Mono" w:hAnsi="Liberation Mono" w:eastAsia="Liberation Mono"/>
                <w:color w:val="000000"/>
                <w:sz w:val="16"/>
              </w:rPr>
              <w:t xml:space="preserve">  product: windows</w:t>
            </w:r>
          </w:p>
          <w:p>
            <w:pPr>
              <w:spacing w:before="0" w:after="0"/>
              <w:ind w:left="0"/>
            </w:pPr>
            <w:r/>
            <w:r>
              <w:rPr>
                <w:rFonts w:ascii="Liberation Mono" w:hAnsi="Liberation Mono" w:eastAsia="Liberation Mono"/>
                <w:color w:val="000000"/>
                <w:sz w:val="16"/>
              </w:rPr>
              <w:t>detection:</w:t>
            </w:r>
          </w:p>
          <w:p>
            <w:pPr>
              <w:spacing w:before="0" w:after="0"/>
              <w:ind w:left="0"/>
            </w:pPr>
            <w:r/>
            <w:r>
              <w:rPr>
                <w:rFonts w:ascii="Liberation Mono" w:hAnsi="Liberation Mono" w:eastAsia="Liberation Mono"/>
                <w:color w:val="000000"/>
                <w:sz w:val="16"/>
              </w:rPr>
              <w:t xml:space="preserve">  selection_parent:</w:t>
            </w:r>
          </w:p>
          <w:p>
            <w:pPr>
              <w:spacing w:before="0" w:after="0"/>
              <w:ind w:left="0"/>
            </w:pPr>
            <w:r/>
            <w:r>
              <w:rPr>
                <w:rFonts w:ascii="Liberation Mono" w:hAnsi="Liberation Mono" w:eastAsia="Liberation Mono"/>
                <w:color w:val="000000"/>
                <w:sz w:val="16"/>
              </w:rPr>
              <w:t xml:space="preserve">    ParentImage|endswith:</w:t>
            </w:r>
          </w:p>
          <w:p>
            <w:pPr>
              <w:spacing w:before="0" w:after="0"/>
              <w:ind w:left="0"/>
            </w:pPr>
            <w:r/>
            <w:r>
              <w:rPr>
                <w:rFonts w:ascii="Liberation Mono" w:hAnsi="Liberation Mono" w:eastAsia="Liberation Mono"/>
                <w:color w:val="000000"/>
                <w:sz w:val="16"/>
              </w:rPr>
              <w:t xml:space="preserve">      - '\chrome.exe'</w:t>
            </w:r>
          </w:p>
          <w:p>
            <w:pPr>
              <w:spacing w:before="0" w:after="0"/>
              <w:ind w:left="0"/>
            </w:pPr>
            <w:r/>
            <w:r>
              <w:rPr>
                <w:rFonts w:ascii="Liberation Mono" w:hAnsi="Liberation Mono" w:eastAsia="Liberation Mono"/>
                <w:color w:val="000000"/>
                <w:sz w:val="16"/>
              </w:rPr>
              <w:t xml:space="preserve">      - '\msedge.exe'</w:t>
            </w:r>
          </w:p>
          <w:p>
            <w:pPr>
              <w:spacing w:before="0" w:after="0"/>
              <w:ind w:left="0"/>
            </w:pPr>
            <w:r/>
            <w:r>
              <w:rPr>
                <w:rFonts w:ascii="Liberation Mono" w:hAnsi="Liberation Mono" w:eastAsia="Liberation Mono"/>
                <w:color w:val="000000"/>
                <w:sz w:val="16"/>
              </w:rPr>
              <w:t xml:space="preserve">      - '\outlook.exe'</w:t>
            </w:r>
          </w:p>
          <w:p>
            <w:pPr>
              <w:spacing w:before="0" w:after="0"/>
              <w:ind w:left="0"/>
            </w:pPr>
            <w:r/>
            <w:r>
              <w:rPr>
                <w:rFonts w:ascii="Liberation Mono" w:hAnsi="Liberation Mono" w:eastAsia="Liberation Mono"/>
                <w:color w:val="000000"/>
                <w:sz w:val="16"/>
              </w:rPr>
              <w:t xml:space="preserve">      - '\teams.exe'</w:t>
            </w:r>
          </w:p>
          <w:p>
            <w:pPr>
              <w:spacing w:before="0" w:after="0"/>
              <w:ind w:left="0"/>
            </w:pPr>
            <w:r/>
            <w:r>
              <w:rPr>
                <w:rFonts w:ascii="Liberation Mono" w:hAnsi="Liberation Mono" w:eastAsia="Liberation Mono"/>
                <w:color w:val="000000"/>
                <w:sz w:val="16"/>
              </w:rPr>
              <w:t xml:space="preserve">      - '\w3wp.exe'</w:t>
            </w:r>
          </w:p>
          <w:p>
            <w:pPr>
              <w:spacing w:before="0" w:after="0"/>
              <w:ind w:left="0"/>
            </w:pPr>
            <w:r/>
            <w:r>
              <w:rPr>
                <w:rFonts w:ascii="Liberation Mono" w:hAnsi="Liberation Mono" w:eastAsia="Liberation Mono"/>
                <w:color w:val="000000"/>
                <w:sz w:val="16"/>
              </w:rPr>
              <w:t xml:space="preserve">  selection_child:</w:t>
            </w:r>
          </w:p>
          <w:p>
            <w:pPr>
              <w:spacing w:before="0" w:after="0"/>
              <w:ind w:left="0"/>
            </w:pPr>
            <w:r/>
            <w:r>
              <w:rPr>
                <w:rFonts w:ascii="Liberation Mono" w:hAnsi="Liberation Mono" w:eastAsia="Liberation Mono"/>
                <w:color w:val="000000"/>
                <w:sz w:val="16"/>
              </w:rPr>
              <w:t xml:space="preserve">    Image|endswith:</w:t>
            </w:r>
          </w:p>
          <w:p>
            <w:pPr>
              <w:spacing w:before="0" w:after="0"/>
              <w:ind w:left="0"/>
            </w:pPr>
            <w:r/>
            <w:r>
              <w:rPr>
                <w:rFonts w:ascii="Liberation Mono" w:hAnsi="Liberation Mono" w:eastAsia="Liberation Mono"/>
                <w:color w:val="000000"/>
                <w:sz w:val="16"/>
              </w:rPr>
              <w:t xml:space="preserve">      - '\powershell.exe'</w:t>
            </w:r>
          </w:p>
          <w:p>
            <w:pPr>
              <w:spacing w:before="0" w:after="0"/>
              <w:ind w:left="0"/>
            </w:pPr>
            <w:r/>
            <w:r>
              <w:rPr>
                <w:rFonts w:ascii="Liberation Mono" w:hAnsi="Liberation Mono" w:eastAsia="Liberation Mono"/>
                <w:color w:val="000000"/>
                <w:sz w:val="16"/>
              </w:rPr>
              <w:t xml:space="preserve">      - '\cmd.exe'</w:t>
            </w:r>
          </w:p>
          <w:p>
            <w:pPr>
              <w:spacing w:before="0" w:after="0"/>
              <w:ind w:left="0"/>
            </w:pPr>
            <w:r/>
            <w:r>
              <w:rPr>
                <w:rFonts w:ascii="Liberation Mono" w:hAnsi="Liberation Mono" w:eastAsia="Liberation Mono"/>
                <w:color w:val="000000"/>
                <w:sz w:val="16"/>
              </w:rPr>
              <w:t xml:space="preserve">      - '\wscript.exe'</w:t>
            </w:r>
          </w:p>
          <w:p>
            <w:pPr>
              <w:spacing w:before="0" w:after="0"/>
              <w:ind w:left="0"/>
            </w:pPr>
            <w:r/>
            <w:r>
              <w:rPr>
                <w:rFonts w:ascii="Liberation Mono" w:hAnsi="Liberation Mono" w:eastAsia="Liberation Mono"/>
                <w:color w:val="000000"/>
                <w:sz w:val="16"/>
              </w:rPr>
              <w:t xml:space="preserve">      - '\cscript.exe'</w:t>
            </w:r>
          </w:p>
          <w:p>
            <w:pPr>
              <w:spacing w:before="0" w:after="0"/>
              <w:ind w:left="0"/>
            </w:pPr>
            <w:r/>
            <w:r>
              <w:rPr>
                <w:rFonts w:ascii="Liberation Mono" w:hAnsi="Liberation Mono" w:eastAsia="Liberation Mono"/>
                <w:color w:val="000000"/>
                <w:sz w:val="16"/>
              </w:rPr>
              <w:t xml:space="preserve">      - '\mshta.exe'</w:t>
            </w:r>
          </w:p>
          <w:p>
            <w:pPr>
              <w:spacing w:before="0" w:after="0"/>
              <w:ind w:left="0"/>
            </w:pPr>
            <w:r/>
            <w:r>
              <w:rPr>
                <w:rFonts w:ascii="Liberation Mono" w:hAnsi="Liberation Mono" w:eastAsia="Liberation Mono"/>
                <w:color w:val="000000"/>
                <w:sz w:val="16"/>
              </w:rPr>
              <w:t xml:space="preserve">      - '\rundll32.exe'</w:t>
            </w:r>
          </w:p>
          <w:p>
            <w:pPr>
              <w:spacing w:before="0" w:after="0"/>
              <w:ind w:left="0"/>
            </w:pPr>
            <w:r/>
            <w:r>
              <w:rPr>
                <w:rFonts w:ascii="Liberation Mono" w:hAnsi="Liberation Mono" w:eastAsia="Liberation Mono"/>
                <w:color w:val="000000"/>
                <w:sz w:val="16"/>
              </w:rPr>
              <w:t xml:space="preserve">  condition: selection_parent and selection_child</w:t>
            </w:r>
          </w:p>
          <w:p>
            <w:pPr>
              <w:spacing w:before="0" w:after="0"/>
              <w:ind w:left="0"/>
            </w:pPr>
            <w:r/>
            <w:r>
              <w:rPr>
                <w:rFonts w:ascii="Liberation Mono" w:hAnsi="Liberation Mono" w:eastAsia="Liberation Mono"/>
                <w:color w:val="000000"/>
                <w:sz w:val="16"/>
              </w:rPr>
              <w:t>level: high</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DeviceProcessEvents</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where FileName in~ ("powershell.exe","cmd.exe","wscript.exe","cscript.exe","mshta.exe","rundll32.exe")</w:t>
            </w:r>
          </w:p>
          <w:p>
            <w:pPr>
              <w:spacing w:before="0" w:after="0"/>
              <w:ind w:left="0"/>
            </w:pPr>
            <w:r/>
            <w:r>
              <w:rPr>
                <w:rFonts w:ascii="Liberation Mono" w:hAnsi="Liberation Mono" w:eastAsia="Liberation Mono"/>
                <w:color w:val="000000"/>
                <w:sz w:val="16"/>
              </w:rPr>
              <w:t>| where InitiatingProcessFileName in~ ("chrome.exe","msedge.exe","outlook.exe","teams.exe","winword.exe","excel.exe")</w:t>
            </w:r>
          </w:p>
          <w:p>
            <w:pPr>
              <w:spacing w:before="0" w:after="0"/>
              <w:ind w:left="0"/>
            </w:pPr>
            <w:r/>
            <w:r>
              <w:rPr>
                <w:rFonts w:ascii="Liberation Mono" w:hAnsi="Liberation Mono" w:eastAsia="Liberation Mono"/>
                <w:color w:val="000000"/>
                <w:sz w:val="16"/>
              </w:rPr>
              <w:t>| summarize Events=count(), Commands=make_set(ProcessCommandLine, 20) by DeviceName, FileName, InitiatingProcessFileName, AccountName</w:t>
            </w:r>
          </w:p>
          <w:p>
            <w:pPr>
              <w:spacing w:before="0" w:after="0"/>
              <w:ind w:left="0"/>
            </w:pPr>
            <w:r/>
            <w:r>
              <w:rPr>
                <w:rFonts w:ascii="Liberation Mono" w:hAnsi="Liberation Mono" w:eastAsia="Liberation Mono"/>
                <w:color w:val="000000"/>
                <w:sz w:val="16"/>
              </w:rPr>
              <w:t>| order by Events desc</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DeviceNetworkEvents</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where InitiatingProcessFileName in~ ('powershell.exe','cmd.exe','wscript.exe','cscript.exe','rundll32.exe','python.exe','node.exe')</w:t>
            </w:r>
          </w:p>
          <w:p>
            <w:pPr>
              <w:spacing w:before="0" w:after="0"/>
              <w:ind w:left="0"/>
            </w:pPr>
            <w:r/>
            <w:r>
              <w:rPr>
                <w:rFonts w:ascii="Liberation Mono" w:hAnsi="Liberation Mono" w:eastAsia="Liberation Mono"/>
                <w:color w:val="000000"/>
                <w:sz w:val="16"/>
              </w:rPr>
              <w:t>| summarize Connections=count(), RemoteIPs=dcount(RemoteIP), RemoteUrls=make_set(RemoteUrl, 20) by DeviceName, InitiatingProcessFileName, InitiatingProcessCommandLine</w:t>
            </w:r>
          </w:p>
          <w:p>
            <w:pPr>
              <w:spacing w:before="0" w:after="0"/>
              <w:ind w:left="0"/>
            </w:pPr>
            <w:r/>
            <w:r>
              <w:rPr>
                <w:rFonts w:ascii="Liberation Mono" w:hAnsi="Liberation Mono" w:eastAsia="Liberation Mono"/>
                <w:color w:val="000000"/>
                <w:sz w:val="16"/>
              </w:rPr>
              <w:t>| order by Connections desc</w:t>
            </w:r>
          </w:p>
        </w:tc>
      </w:tr>
    </w:tbl>
    <w:p>
      <w:pPr>
        <w:pStyle w:val="Heading2"/>
        <w:spacing w:after="120" w:before="120"/>
        <w:jc w:val="left"/>
      </w:pPr>
      <w:r>
        <w:rPr>
          <w:rFonts w:ascii="Liberation Serif" w:hAnsi="Liberation Serif" w:eastAsia="Liberation Serif"/>
          <w:b/>
          <w:i w:val="0"/>
          <w:color w:val="123D63"/>
          <w:sz w:val="26"/>
        </w:rPr>
        <w:t>10. Threat Hunting</w:t>
      </w:r>
    </w:p>
    <w:p>
      <w:pPr>
        <w:pStyle w:val="Heading3"/>
        <w:spacing w:after="80" w:before="80"/>
        <w:jc w:val="left"/>
      </w:pPr>
      <w:r>
        <w:rPr>
          <w:rFonts w:ascii="Liberation Serif" w:hAnsi="Liberation Serif" w:eastAsia="Liberation Serif"/>
          <w:b/>
          <w:i w:val="0"/>
          <w:color w:val="000000"/>
          <w:sz w:val="22"/>
        </w:rPr>
        <w:t>10.1. Hunt Hypotheses</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Hypothesis</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Query Focus</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Initial lure resulted in script or LOLBin execution</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Process lineage from browsers, Office, chat, or email clients.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Payload staging used commodity infrastructure</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New domains, direct-IP connections, unusual ASNs, or short-lived hosts.</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compromise followed social engineering</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OAuth grants, device-code flow, MFA changes, impossible travel, and risky sign-ins.</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SigninLogs</w:t>
            </w:r>
          </w:p>
          <w:p>
            <w:pPr>
              <w:spacing w:before="0" w:after="0"/>
              <w:ind w:left="0"/>
            </w:pPr>
            <w:r/>
            <w:r>
              <w:rPr>
                <w:rFonts w:ascii="Liberation Mono" w:hAnsi="Liberation Mono" w:eastAsia="Liberation Mono"/>
                <w:color w:val="000000"/>
                <w:sz w:val="16"/>
              </w:rPr>
              <w:t>| where TimeGenerated &gt; ago(14d)</w:t>
            </w:r>
          </w:p>
          <w:p>
            <w:pPr>
              <w:spacing w:before="0" w:after="0"/>
              <w:ind w:left="0"/>
            </w:pPr>
            <w:r/>
            <w:r>
              <w:rPr>
                <w:rFonts w:ascii="Liberation Mono" w:hAnsi="Liberation Mono" w:eastAsia="Liberation Mono"/>
                <w:color w:val="000000"/>
                <w:sz w:val="16"/>
              </w:rPr>
              <w:t>| where ResultType != 0 or RiskLevelDuringSignIn in ("medium","high")</w:t>
            </w:r>
          </w:p>
          <w:p>
            <w:pPr>
              <w:spacing w:before="0" w:after="0"/>
              <w:ind w:left="0"/>
            </w:pPr>
            <w:r/>
            <w:r>
              <w:rPr>
                <w:rFonts w:ascii="Liberation Mono" w:hAnsi="Liberation Mono" w:eastAsia="Liberation Mono"/>
                <w:color w:val="000000"/>
                <w:sz w:val="16"/>
              </w:rPr>
              <w:t>| summarize Signins=count(), Apps=make_set(AppDisplayName, 20), IPs=make_set(IPAddress, 20) by UserPrincipalName, RiskLevelDuringSignIn</w:t>
            </w:r>
          </w:p>
          <w:p>
            <w:pPr>
              <w:spacing w:before="0" w:after="0"/>
              <w:ind w:left="0"/>
            </w:pPr>
            <w:r/>
            <w:r>
              <w:rPr>
                <w:rFonts w:ascii="Liberation Mono" w:hAnsi="Liberation Mono" w:eastAsia="Liberation Mono"/>
                <w:color w:val="000000"/>
                <w:sz w:val="16"/>
              </w:rPr>
              <w:t>| order by Signins desc</w:t>
            </w:r>
          </w:p>
        </w:tc>
      </w:tr>
    </w:tbl>
    <w:p>
      <w:pPr>
        <w:pStyle w:val="Heading2"/>
        <w:spacing w:after="120" w:before="120"/>
        <w:jc w:val="left"/>
      </w:pPr>
      <w:r>
        <w:rPr>
          <w:rFonts w:ascii="Liberation Serif" w:hAnsi="Liberation Serif" w:eastAsia="Liberation Serif"/>
          <w:b/>
          <w:i w:val="0"/>
          <w:color w:val="123D63"/>
          <w:sz w:val="26"/>
        </w:rPr>
        <w:t>11. Risk Assessment</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Dimension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Assessment</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Rationale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Likelihood</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 to High</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Current public reporting and commodity reuse make exposure plausible.</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Impact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 to High</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compromise, malware staging, or sector disruption can create business impact.</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Detection Difficulty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Behavioral telemetry is available, but atomic indicators may be sparse.</w:t>
            </w:r>
          </w:p>
        </w:tc>
      </w:tr>
    </w:tbl>
    <w:p>
      <w:pPr>
        <w:pStyle w:val="Heading2"/>
        <w:spacing w:after="120" w:before="120"/>
        <w:jc w:val="left"/>
      </w:pPr>
      <w:r>
        <w:rPr>
          <w:rFonts w:ascii="Liberation Serif" w:hAnsi="Liberation Serif" w:eastAsia="Liberation Serif"/>
          <w:b/>
          <w:i w:val="0"/>
          <w:color w:val="123D63"/>
          <w:sz w:val="26"/>
        </w:rPr>
        <w:t>12. Recommended Actions</w:t>
      </w:r>
    </w:p>
    <w:p>
      <w:pPr>
        <w:pStyle w:val="ListNumber"/>
        <w:spacing w:after="40" w:before="0"/>
        <w:jc w:val="left"/>
      </w:pPr>
      <w:r>
        <w:rPr>
          <w:rFonts w:ascii="Liberation Serif" w:hAnsi="Liberation Serif" w:eastAsia="Liberation Serif"/>
          <w:b w:val="0"/>
          <w:i w:val="0"/>
          <w:color w:val="000000"/>
          <w:sz w:val="20"/>
        </w:rPr>
        <w:t>Brief SOC and identity teams on the source-backed behaviors.</w:t>
      </w:r>
    </w:p>
    <w:p>
      <w:pPr>
        <w:pStyle w:val="ListNumber"/>
        <w:spacing w:after="40" w:before="0"/>
        <w:jc w:val="left"/>
      </w:pPr>
      <w:r>
        <w:rPr>
          <w:rFonts w:ascii="Liberation Serif" w:hAnsi="Liberation Serif" w:eastAsia="Liberation Serif"/>
          <w:b w:val="0"/>
          <w:i w:val="0"/>
          <w:color w:val="000000"/>
          <w:sz w:val="20"/>
        </w:rPr>
        <w:t>Run the included process/network/identity hunts for 14-30 days of telemetry.</w:t>
      </w:r>
    </w:p>
    <w:p>
      <w:pPr>
        <w:pStyle w:val="ListNumber"/>
        <w:spacing w:after="40" w:before="0"/>
        <w:jc w:val="left"/>
      </w:pPr>
      <w:r>
        <w:rPr>
          <w:rFonts w:ascii="Liberation Serif" w:hAnsi="Liberation Serif" w:eastAsia="Liberation Serif"/>
          <w:b w:val="0"/>
          <w:i w:val="0"/>
          <w:color w:val="000000"/>
          <w:sz w:val="20"/>
        </w:rPr>
        <w:t>Review exposed third-party and remote-access paths tied to the affected workflow.</w:t>
      </w:r>
    </w:p>
    <w:p>
      <w:pPr>
        <w:pStyle w:val="ListNumber"/>
        <w:spacing w:after="40" w:before="0"/>
        <w:jc w:val="left"/>
      </w:pPr>
      <w:r>
        <w:rPr>
          <w:rFonts w:ascii="Liberation Serif" w:hAnsi="Liberation Serif" w:eastAsia="Liberation Serif"/>
          <w:b w:val="0"/>
          <w:i w:val="0"/>
          <w:color w:val="000000"/>
          <w:sz w:val="20"/>
        </w:rPr>
        <w:t>Convert confirmed local hits into case-specific IOCs and containment tasks.</w:t>
      </w:r>
    </w:p>
    <w:p>
      <w:pPr>
        <w:pStyle w:val="Heading2"/>
        <w:spacing w:after="120" w:before="120"/>
        <w:jc w:val="left"/>
      </w:pPr>
      <w:r>
        <w:rPr>
          <w:rFonts w:ascii="Liberation Serif" w:hAnsi="Liberation Serif" w:eastAsia="Liberation Serif"/>
          <w:b/>
          <w:i w:val="0"/>
          <w:color w:val="123D63"/>
          <w:sz w:val="26"/>
        </w:rPr>
        <w:t>13. References</w:t>
      </w:r>
    </w:p>
    <w:p>
      <w:pPr>
        <w:pStyle w:val="ListBullet"/>
        <w:spacing w:after="40" w:before="0"/>
        <w:jc w:val="left"/>
      </w:pPr>
      <w:r>
        <w:rPr>
          <w:rFonts w:ascii="Liberation Serif" w:hAnsi="Liberation Serif" w:eastAsia="Liberation Serif"/>
          <w:b w:val="0"/>
          <w:i w:val="0"/>
          <w:color w:val="000000"/>
          <w:sz w:val="20"/>
        </w:rPr>
        <w:t>[1] GAO report page: https://www.gao.gov/products/gao-26-108439</w:t>
      </w:r>
    </w:p>
    <w:p>
      <w:pPr>
        <w:pStyle w:val="ListBullet"/>
        <w:spacing w:after="40" w:before="0"/>
        <w:jc w:val="left"/>
      </w:pPr>
      <w:r>
        <w:rPr>
          <w:rFonts w:ascii="Liberation Serif" w:hAnsi="Liberation Serif" w:eastAsia="Liberation Serif"/>
          <w:b w:val="0"/>
          <w:i w:val="0"/>
          <w:color w:val="000000"/>
          <w:sz w:val="20"/>
        </w:rPr>
        <w:t>[2] AIN coverage: https://www.ainonline.com/aviation-news/general-aviation/2026-09-22/national-airspace-comms-vulnerable-spoofing-gao-says</w:t>
      </w:r>
    </w:p>
    <w:p>
      <w:pPr>
        <w:pStyle w:val="ListBullet"/>
        <w:spacing w:after="40" w:before="0"/>
        <w:jc w:val="left"/>
      </w:pPr>
      <w:r>
        <w:rPr>
          <w:rFonts w:ascii="Liberation Serif" w:hAnsi="Liberation Serif" w:eastAsia="Liberation Serif"/>
          <w:b w:val="0"/>
          <w:i w:val="0"/>
          <w:color w:val="000000"/>
          <w:sz w:val="20"/>
        </w:rPr>
        <w:t>[3] AeroTime coverage: https://www.aerotime.aero/articles/faa-atc-message-spoofing-cybersecurity-gao-report</w:t>
      </w:r>
    </w:p>
    <w:p>
      <w:pPr>
        <w:pStyle w:val="ListBullet"/>
        <w:spacing w:after="40" w:before="0"/>
        <w:jc w:val="left"/>
      </w:pPr>
      <w:r>
        <w:rPr>
          <w:rFonts w:ascii="Liberation Serif" w:hAnsi="Liberation Serif" w:eastAsia="Liberation Serif"/>
          <w:b w:val="0"/>
          <w:i w:val="0"/>
          <w:color w:val="000000"/>
          <w:sz w:val="20"/>
        </w:rPr>
        <w:t>[4] FAA public site: https://www.faa.gov/</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sz w:val="18"/>
      </w:rPr>
    </w:r>
    <w:r>
      <w:rPr>
        <w:rFonts w:ascii="Liberation Serif" w:hAnsi="Liberation Serif" w:eastAsia="Liberation Seri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Liberation Serif" w:hAnsi="Liberation Serif" w:eastAsia="Liberation Serif"/>
        <w:color w:val="123D63"/>
        <w:sz w:val="18"/>
      </w:rPr>
      <w:t>TLP:CLEAR | Lost Boys Cyber | FAA NAS Cyber/Spectrum Exposure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