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高速公路车流量监测激光雷达网络拓扑异常原因分析</w:t>
      </w:r>
    </w:p>
    <w:p>
      <w:r>
        <w:t>本报告针对部署在高速公路上的车流量监测激光雷达系统，分析其可能出现网络拓扑异常的原因，以便为系统的故障排查与安全保障提供依据。</w:t>
      </w:r>
    </w:p>
    <w:p>
      <w:pPr>
        <w:pStyle w:val="Heading1"/>
      </w:pPr>
      <w:r>
        <w:t>一、典型网络拓扑结构描述</w:t>
      </w:r>
    </w:p>
    <w:p>
      <w:r>
        <w:t>高速公路车流监测激光雷达通常通过以下拓扑结构进行部署：</w:t>
      </w:r>
    </w:p>
    <w:p>
      <w:r>
        <w:t>- 多台激光雷达终端部署在高速路段两侧或天桥，负责数据采集</w:t>
        <w:br/>
        <w:t>- 雷达通过有线或无线方式接入边缘计算设备或通信汇聚节点</w:t>
        <w:br/>
        <w:t>- 汇聚节点将数据上传至中心服务器或云平台进行处理与存储</w:t>
        <w:br/>
        <w:t>- 网络通过工业以太网、5G、光纤或VPN专线连接</w:t>
      </w:r>
    </w:p>
    <w:p>
      <w:pPr>
        <w:pStyle w:val="Heading1"/>
      </w:pPr>
      <w:r>
        <w:t>二、网络拓扑异常的表现形式</w:t>
      </w:r>
    </w:p>
    <w:p>
      <w:r>
        <w:t>- 激光雷达设备频繁离线或通信中断</w:t>
      </w:r>
    </w:p>
    <w:p>
      <w:r>
        <w:t>- 数据上传延迟严重或完全中断</w:t>
      </w:r>
    </w:p>
    <w:p>
      <w:r>
        <w:t>- 网络拓扑图中设备节点消失或连接断链</w:t>
      </w:r>
    </w:p>
    <w:p>
      <w:r>
        <w:t>- 中心系统报警提示设备不可达</w:t>
      </w:r>
    </w:p>
    <w:p>
      <w:pPr>
        <w:pStyle w:val="Heading1"/>
      </w:pPr>
      <w:r>
        <w:t>三、网络拓扑异常可能原因分析</w:t>
      </w:r>
    </w:p>
    <w:p>
      <w:pPr>
        <w:pStyle w:val="Heading2"/>
      </w:pPr>
      <w:r>
        <w:t>1. 物理链路故障</w:t>
      </w:r>
    </w:p>
    <w:p>
      <w:pPr>
        <w:pStyle w:val="ListBullet"/>
      </w:pPr>
      <w:r>
        <w:t>● 光纤断裂、网线损坏、接口松动</w:t>
      </w:r>
    </w:p>
    <w:p>
      <w:pPr>
        <w:pStyle w:val="ListBullet"/>
      </w:pPr>
      <w:r>
        <w:t>● 交换机/路由器断电或硬件故障</w:t>
      </w:r>
    </w:p>
    <w:p>
      <w:pPr>
        <w:pStyle w:val="Heading2"/>
      </w:pPr>
      <w:r>
        <w:t>2. 网络设备配置异常</w:t>
      </w:r>
    </w:p>
    <w:p>
      <w:pPr>
        <w:pStyle w:val="ListBullet"/>
      </w:pPr>
      <w:r>
        <w:t>● IP 地址冲突或静态配置错误</w:t>
      </w:r>
    </w:p>
    <w:p>
      <w:pPr>
        <w:pStyle w:val="ListBullet"/>
      </w:pPr>
      <w:r>
        <w:t>● VLAN、路由表或防火墙规则设置不当</w:t>
      </w:r>
    </w:p>
    <w:p>
      <w:pPr>
        <w:pStyle w:val="Heading2"/>
      </w:pPr>
      <w:r>
        <w:t>3. 无线链路干扰</w:t>
      </w:r>
    </w:p>
    <w:p>
      <w:pPr>
        <w:pStyle w:val="ListBullet"/>
      </w:pPr>
      <w:r>
        <w:t>● 高频环境下信号干扰大（如桥梁、隧道附近）</w:t>
      </w:r>
    </w:p>
    <w:p>
      <w:pPr>
        <w:pStyle w:val="ListBullet"/>
      </w:pPr>
      <w:r>
        <w:t>● 5G/4G 模块信号弱或SIM卡异常</w:t>
      </w:r>
    </w:p>
    <w:p>
      <w:pPr>
        <w:pStyle w:val="Heading2"/>
      </w:pPr>
      <w:r>
        <w:t>4. 网络攻击行为</w:t>
      </w:r>
    </w:p>
    <w:p>
      <w:pPr>
        <w:pStyle w:val="ListBullet"/>
      </w:pPr>
      <w:r>
        <w:t>● 恶意扫描或DDoS攻击导致设备宕机或连接异常</w:t>
      </w:r>
    </w:p>
    <w:p>
      <w:pPr>
        <w:pStyle w:val="ListBullet"/>
      </w:pPr>
      <w:r>
        <w:t>● ARP欺骗、中间人攻击造成拓扑图混乱</w:t>
      </w:r>
    </w:p>
    <w:p>
      <w:pPr>
        <w:pStyle w:val="Heading2"/>
      </w:pPr>
      <w:r>
        <w:t>5. 软件或协议兼容性问题</w:t>
      </w:r>
    </w:p>
    <w:p>
      <w:pPr>
        <w:pStyle w:val="ListBullet"/>
      </w:pPr>
      <w:r>
        <w:t>● 设备固件版本与中心平台不兼容</w:t>
      </w:r>
    </w:p>
    <w:p>
      <w:pPr>
        <w:pStyle w:val="ListBullet"/>
      </w:pPr>
      <w:r>
        <w:t>● 网络协议异常导致拓扑识别失败（如SNMP不可达）</w:t>
      </w:r>
    </w:p>
    <w:p>
      <w:pPr>
        <w:pStyle w:val="Heading2"/>
      </w:pPr>
      <w:r>
        <w:t>6. 环境或供电异常</w:t>
      </w:r>
    </w:p>
    <w:p>
      <w:pPr>
        <w:pStyle w:val="ListBullet"/>
      </w:pPr>
      <w:r>
        <w:t>● 雷雨天气、电涌影响通信模块</w:t>
      </w:r>
    </w:p>
    <w:p>
      <w:pPr>
        <w:pStyle w:val="ListBullet"/>
      </w:pPr>
      <w:r>
        <w:t>● 户外设备供电不稳导致频繁重启</w:t>
      </w:r>
    </w:p>
    <w:p>
      <w:pPr>
        <w:pStyle w:val="Heading1"/>
      </w:pPr>
      <w:r>
        <w:t>四、建议与后续处理措施</w:t>
      </w:r>
    </w:p>
    <w:p>
      <w:r>
        <w:t>✅ 定期进行物理链路巡检与冗余设计</w:t>
      </w:r>
    </w:p>
    <w:p>
      <w:r>
        <w:t>✅ 网络配置标准化并定期备份</w:t>
      </w:r>
    </w:p>
    <w:p>
      <w:r>
        <w:t>✅ 增设网络监测与告警系统，如拓扑实时可视化</w:t>
      </w:r>
    </w:p>
    <w:p>
      <w:r>
        <w:t>✅ 对无线模块进行信号强度评估并设置网络优先级</w:t>
      </w:r>
    </w:p>
    <w:p>
      <w:r>
        <w:t>✅ 更新固件并统一设备协议版本</w:t>
      </w:r>
    </w:p>
    <w:p>
      <w:r>
        <w:t>✅ 在设备端与中心平台启用日志记录与审计功能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