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高速公路激光雷达系统威胁风险矩阵</w:t>
      </w:r>
    </w:p>
    <w:p>
      <w:r>
        <w:t>以下为高速公路车流量监测激光雷达系统在网络拓扑异常背景下的威胁风险矩阵，列出可能的威胁事件、对应的风险等级及建议的缓解措施。</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威胁事件</w:t>
            </w:r>
          </w:p>
        </w:tc>
        <w:tc>
          <w:tcPr>
            <w:tcW w:type="dxa" w:w="1440"/>
          </w:tcPr>
          <w:p>
            <w:r>
              <w:t>可能原因</w:t>
            </w:r>
          </w:p>
        </w:tc>
        <w:tc>
          <w:tcPr>
            <w:tcW w:type="dxa" w:w="1440"/>
          </w:tcPr>
          <w:p>
            <w:r>
              <w:t>影响等级</w:t>
            </w:r>
          </w:p>
        </w:tc>
        <w:tc>
          <w:tcPr>
            <w:tcW w:type="dxa" w:w="1440"/>
          </w:tcPr>
          <w:p>
            <w:r>
              <w:t>发生概率</w:t>
            </w:r>
          </w:p>
        </w:tc>
        <w:tc>
          <w:tcPr>
            <w:tcW w:type="dxa" w:w="1440"/>
          </w:tcPr>
          <w:p>
            <w:r>
              <w:t>风险等级</w:t>
            </w:r>
          </w:p>
        </w:tc>
        <w:tc>
          <w:tcPr>
            <w:tcW w:type="dxa" w:w="1440"/>
          </w:tcPr>
          <w:p>
            <w:r>
              <w:t>缓解措施</w:t>
            </w:r>
          </w:p>
        </w:tc>
      </w:tr>
      <w:tr>
        <w:tc>
          <w:tcPr>
            <w:tcW w:type="dxa" w:w="1440"/>
          </w:tcPr>
          <w:p>
            <w:r>
              <w:t>物理链路故障</w:t>
            </w:r>
          </w:p>
        </w:tc>
        <w:tc>
          <w:tcPr>
            <w:tcW w:type="dxa" w:w="1440"/>
          </w:tcPr>
          <w:p>
            <w:r>
              <w:t>光纤/网线损坏、接口松动</w:t>
            </w:r>
          </w:p>
        </w:tc>
        <w:tc>
          <w:tcPr>
            <w:tcW w:type="dxa" w:w="1440"/>
          </w:tcPr>
          <w:p>
            <w:r>
              <w:t>高</w:t>
            </w:r>
          </w:p>
        </w:tc>
        <w:tc>
          <w:tcPr>
            <w:tcW w:type="dxa" w:w="1440"/>
          </w:tcPr>
          <w:p>
            <w:r>
              <w:t>中</w:t>
            </w:r>
          </w:p>
        </w:tc>
        <w:tc>
          <w:tcPr>
            <w:tcW w:type="dxa" w:w="1440"/>
          </w:tcPr>
          <w:p>
            <w:r>
              <w:t>高</w:t>
            </w:r>
          </w:p>
        </w:tc>
        <w:tc>
          <w:tcPr>
            <w:tcW w:type="dxa" w:w="1440"/>
          </w:tcPr>
          <w:p>
            <w:r>
              <w:t>定期巡检与加固、链路冗余</w:t>
            </w:r>
          </w:p>
        </w:tc>
      </w:tr>
      <w:tr>
        <w:tc>
          <w:tcPr>
            <w:tcW w:type="dxa" w:w="1440"/>
          </w:tcPr>
          <w:p>
            <w:r>
              <w:t>无线链路干扰</w:t>
            </w:r>
          </w:p>
        </w:tc>
        <w:tc>
          <w:tcPr>
            <w:tcW w:type="dxa" w:w="1440"/>
          </w:tcPr>
          <w:p>
            <w:r>
              <w:t>信号弱、干扰源影响</w:t>
            </w:r>
          </w:p>
        </w:tc>
        <w:tc>
          <w:tcPr>
            <w:tcW w:type="dxa" w:w="1440"/>
          </w:tcPr>
          <w:p>
            <w:r>
              <w:t>中</w:t>
            </w:r>
          </w:p>
        </w:tc>
        <w:tc>
          <w:tcPr>
            <w:tcW w:type="dxa" w:w="1440"/>
          </w:tcPr>
          <w:p>
            <w:r>
              <w:t>高</w:t>
            </w:r>
          </w:p>
        </w:tc>
        <w:tc>
          <w:tcPr>
            <w:tcW w:type="dxa" w:w="1440"/>
          </w:tcPr>
          <w:p>
            <w:r>
              <w:t>高</w:t>
            </w:r>
          </w:p>
        </w:tc>
        <w:tc>
          <w:tcPr>
            <w:tcW w:type="dxa" w:w="1440"/>
          </w:tcPr>
          <w:p>
            <w:r>
              <w:t>选用高增益天线、信道优化</w:t>
            </w:r>
          </w:p>
        </w:tc>
      </w:tr>
      <w:tr>
        <w:tc>
          <w:tcPr>
            <w:tcW w:type="dxa" w:w="1440"/>
          </w:tcPr>
          <w:p>
            <w:r>
              <w:t>网络配置错误</w:t>
            </w:r>
          </w:p>
        </w:tc>
        <w:tc>
          <w:tcPr>
            <w:tcW w:type="dxa" w:w="1440"/>
          </w:tcPr>
          <w:p>
            <w:r>
              <w:t>IP冲突、防火墙误拦</w:t>
            </w:r>
          </w:p>
        </w:tc>
        <w:tc>
          <w:tcPr>
            <w:tcW w:type="dxa" w:w="1440"/>
          </w:tcPr>
          <w:p>
            <w:r>
              <w:t>中</w:t>
            </w:r>
          </w:p>
        </w:tc>
        <w:tc>
          <w:tcPr>
            <w:tcW w:type="dxa" w:w="1440"/>
          </w:tcPr>
          <w:p>
            <w:r>
              <w:t>中</w:t>
            </w:r>
          </w:p>
        </w:tc>
        <w:tc>
          <w:tcPr>
            <w:tcW w:type="dxa" w:w="1440"/>
          </w:tcPr>
          <w:p>
            <w:r>
              <w:t>中</w:t>
            </w:r>
          </w:p>
        </w:tc>
        <w:tc>
          <w:tcPr>
            <w:tcW w:type="dxa" w:w="1440"/>
          </w:tcPr>
          <w:p>
            <w:r>
              <w:t>配置标准化与自动化部署</w:t>
            </w:r>
          </w:p>
        </w:tc>
      </w:tr>
      <w:tr>
        <w:tc>
          <w:tcPr>
            <w:tcW w:type="dxa" w:w="1440"/>
          </w:tcPr>
          <w:p>
            <w:r>
              <w:t>网络攻击行为</w:t>
            </w:r>
          </w:p>
        </w:tc>
        <w:tc>
          <w:tcPr>
            <w:tcW w:type="dxa" w:w="1440"/>
          </w:tcPr>
          <w:p>
            <w:r>
              <w:t>ARP欺骗、DDoS</w:t>
            </w:r>
          </w:p>
        </w:tc>
        <w:tc>
          <w:tcPr>
            <w:tcW w:type="dxa" w:w="1440"/>
          </w:tcPr>
          <w:p>
            <w:r>
              <w:t>高</w:t>
            </w:r>
          </w:p>
        </w:tc>
        <w:tc>
          <w:tcPr>
            <w:tcW w:type="dxa" w:w="1440"/>
          </w:tcPr>
          <w:p>
            <w:r>
              <w:t>中</w:t>
            </w:r>
          </w:p>
        </w:tc>
        <w:tc>
          <w:tcPr>
            <w:tcW w:type="dxa" w:w="1440"/>
          </w:tcPr>
          <w:p>
            <w:r>
              <w:t>高</w:t>
            </w:r>
          </w:p>
        </w:tc>
        <w:tc>
          <w:tcPr>
            <w:tcW w:type="dxa" w:w="1440"/>
          </w:tcPr>
          <w:p>
            <w:r>
              <w:t>部署入侵检测系统、流量清洗</w:t>
            </w:r>
          </w:p>
        </w:tc>
      </w:tr>
      <w:tr>
        <w:tc>
          <w:tcPr>
            <w:tcW w:type="dxa" w:w="1440"/>
          </w:tcPr>
          <w:p>
            <w:r>
              <w:t>设备断电或供电不稳</w:t>
            </w:r>
          </w:p>
        </w:tc>
        <w:tc>
          <w:tcPr>
            <w:tcW w:type="dxa" w:w="1440"/>
          </w:tcPr>
          <w:p>
            <w:r>
              <w:t>电源线松动、供电波动</w:t>
            </w:r>
          </w:p>
        </w:tc>
        <w:tc>
          <w:tcPr>
            <w:tcW w:type="dxa" w:w="1440"/>
          </w:tcPr>
          <w:p>
            <w:r>
              <w:t>中</w:t>
            </w:r>
          </w:p>
        </w:tc>
        <w:tc>
          <w:tcPr>
            <w:tcW w:type="dxa" w:w="1440"/>
          </w:tcPr>
          <w:p>
            <w:r>
              <w:t>高</w:t>
            </w:r>
          </w:p>
        </w:tc>
        <w:tc>
          <w:tcPr>
            <w:tcW w:type="dxa" w:w="1440"/>
          </w:tcPr>
          <w:p>
            <w:r>
              <w:t>中</w:t>
            </w:r>
          </w:p>
        </w:tc>
        <w:tc>
          <w:tcPr>
            <w:tcW w:type="dxa" w:w="1440"/>
          </w:tcPr>
          <w:p>
            <w:r>
              <w:t>UPS供电、稳压设备</w:t>
            </w:r>
          </w:p>
        </w:tc>
      </w:tr>
      <w:tr>
        <w:tc>
          <w:tcPr>
            <w:tcW w:type="dxa" w:w="1440"/>
          </w:tcPr>
          <w:p>
            <w:r>
              <w:t>软件或协议不兼容</w:t>
            </w:r>
          </w:p>
        </w:tc>
        <w:tc>
          <w:tcPr>
            <w:tcW w:type="dxa" w:w="1440"/>
          </w:tcPr>
          <w:p>
            <w:r>
              <w:t>固件版本不统一</w:t>
            </w:r>
          </w:p>
        </w:tc>
        <w:tc>
          <w:tcPr>
            <w:tcW w:type="dxa" w:w="1440"/>
          </w:tcPr>
          <w:p>
            <w:r>
              <w:t>中</w:t>
            </w:r>
          </w:p>
        </w:tc>
        <w:tc>
          <w:tcPr>
            <w:tcW w:type="dxa" w:w="1440"/>
          </w:tcPr>
          <w:p>
            <w:r>
              <w:t>中</w:t>
            </w:r>
          </w:p>
        </w:tc>
        <w:tc>
          <w:tcPr>
            <w:tcW w:type="dxa" w:w="1440"/>
          </w:tcPr>
          <w:p>
            <w:r>
              <w:t>中</w:t>
            </w:r>
          </w:p>
        </w:tc>
        <w:tc>
          <w:tcPr>
            <w:tcW w:type="dxa" w:w="1440"/>
          </w:tcPr>
          <w:p>
            <w:r>
              <w:t>统一设备标准、集中升级管理</w:t>
            </w:r>
          </w:p>
        </w:tc>
      </w:tr>
      <w:tr>
        <w:tc>
          <w:tcPr>
            <w:tcW w:type="dxa" w:w="1440"/>
          </w:tcPr>
          <w:p>
            <w:r>
              <w:t>恶劣天气影响</w:t>
            </w:r>
          </w:p>
        </w:tc>
        <w:tc>
          <w:tcPr>
            <w:tcW w:type="dxa" w:w="1440"/>
          </w:tcPr>
          <w:p>
            <w:r>
              <w:t>雷电、电涌</w:t>
            </w:r>
          </w:p>
        </w:tc>
        <w:tc>
          <w:tcPr>
            <w:tcW w:type="dxa" w:w="1440"/>
          </w:tcPr>
          <w:p>
            <w:r>
              <w:t>高</w:t>
            </w:r>
          </w:p>
        </w:tc>
        <w:tc>
          <w:tcPr>
            <w:tcW w:type="dxa" w:w="1440"/>
          </w:tcPr>
          <w:p>
            <w:r>
              <w:t>低</w:t>
            </w:r>
          </w:p>
        </w:tc>
        <w:tc>
          <w:tcPr>
            <w:tcW w:type="dxa" w:w="1440"/>
          </w:tcPr>
          <w:p>
            <w:r>
              <w:t>中</w:t>
            </w:r>
          </w:p>
        </w:tc>
        <w:tc>
          <w:tcPr>
            <w:tcW w:type="dxa" w:w="1440"/>
          </w:tcPr>
          <w:p>
            <w:r>
              <w:t>防雷保护、室外设备加固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