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激光雷达安全防护建议</w:t>
      </w:r>
    </w:p>
    <w:p>
      <w:r>
        <w:t>以下是针对激光雷达（LiDAR）系统的安全防护建议，包括其脆弱性分析以及在不同预算下的防护措施：</w:t>
      </w:r>
    </w:p>
    <w:p>
      <w:pPr>
        <w:pStyle w:val="Heading1"/>
      </w:pPr>
      <w:r>
        <w:t>一、激光雷达系统脆弱性分析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具体脆弱性</w:t>
            </w:r>
          </w:p>
        </w:tc>
        <w:tc>
          <w:tcPr>
            <w:tcW w:type="dxa" w:w="2880"/>
          </w:tcPr>
          <w:p>
            <w:r>
              <w:t>可能后果</w:t>
            </w:r>
          </w:p>
        </w:tc>
      </w:tr>
      <w:tr>
        <w:tc>
          <w:tcPr>
            <w:tcW w:type="dxa" w:w="2880"/>
          </w:tcPr>
          <w:p>
            <w:r>
              <w:t>物理层面</w:t>
            </w:r>
          </w:p>
        </w:tc>
        <w:tc>
          <w:tcPr>
            <w:tcW w:type="dxa" w:w="2880"/>
          </w:tcPr>
          <w:p>
            <w:r>
              <w:t>裸露在外、易被干扰</w:t>
            </w:r>
          </w:p>
        </w:tc>
        <w:tc>
          <w:tcPr>
            <w:tcW w:type="dxa" w:w="2880"/>
          </w:tcPr>
          <w:p>
            <w:r>
              <w:t>被物理遮挡、移动、破坏</w:t>
            </w:r>
          </w:p>
        </w:tc>
      </w:tr>
      <w:tr>
        <w:tc>
          <w:tcPr>
            <w:tcW w:type="dxa" w:w="2880"/>
          </w:tcPr>
          <w:p>
            <w:r>
              <w:t>光学层面</w:t>
            </w:r>
          </w:p>
        </w:tc>
        <w:tc>
          <w:tcPr>
            <w:tcW w:type="dxa" w:w="2880"/>
          </w:tcPr>
          <w:p>
            <w:r>
              <w:t>易受强光、干扰光影响</w:t>
            </w:r>
          </w:p>
        </w:tc>
        <w:tc>
          <w:tcPr>
            <w:tcW w:type="dxa" w:w="2880"/>
          </w:tcPr>
          <w:p>
            <w:r>
              <w:t>数据采集失真或失败</w:t>
            </w:r>
          </w:p>
        </w:tc>
      </w:tr>
      <w:tr>
        <w:tc>
          <w:tcPr>
            <w:tcW w:type="dxa" w:w="2880"/>
          </w:tcPr>
          <w:p>
            <w:r>
              <w:t>通信层面</w:t>
            </w:r>
          </w:p>
        </w:tc>
        <w:tc>
          <w:tcPr>
            <w:tcW w:type="dxa" w:w="2880"/>
          </w:tcPr>
          <w:p>
            <w:r>
              <w:t>与控制中心通信无加密</w:t>
            </w:r>
          </w:p>
        </w:tc>
        <w:tc>
          <w:tcPr>
            <w:tcW w:type="dxa" w:w="2880"/>
          </w:tcPr>
          <w:p>
            <w:r>
              <w:t>数据可被篡改、监听</w:t>
            </w:r>
          </w:p>
        </w:tc>
      </w:tr>
      <w:tr>
        <w:tc>
          <w:tcPr>
            <w:tcW w:type="dxa" w:w="2880"/>
          </w:tcPr>
          <w:p>
            <w:r>
              <w:t>软件层面</w:t>
            </w:r>
          </w:p>
        </w:tc>
        <w:tc>
          <w:tcPr>
            <w:tcW w:type="dxa" w:w="2880"/>
          </w:tcPr>
          <w:p>
            <w:r>
              <w:t>固件更新机制不安全</w:t>
            </w:r>
          </w:p>
        </w:tc>
        <w:tc>
          <w:tcPr>
            <w:tcW w:type="dxa" w:w="2880"/>
          </w:tcPr>
          <w:p>
            <w:r>
              <w:t>可被植入恶意代码</w:t>
            </w:r>
          </w:p>
        </w:tc>
      </w:tr>
      <w:tr>
        <w:tc>
          <w:tcPr>
            <w:tcW w:type="dxa" w:w="2880"/>
          </w:tcPr>
          <w:p>
            <w:r>
              <w:t>网络层面</w:t>
            </w:r>
          </w:p>
        </w:tc>
        <w:tc>
          <w:tcPr>
            <w:tcW w:type="dxa" w:w="2880"/>
          </w:tcPr>
          <w:p>
            <w:r>
              <w:t>缺少网络边界防护</w:t>
            </w:r>
          </w:p>
        </w:tc>
        <w:tc>
          <w:tcPr>
            <w:tcW w:type="dxa" w:w="2880"/>
          </w:tcPr>
          <w:p>
            <w:r>
              <w:t>易被攻击者远程入侵或扫描</w:t>
            </w:r>
          </w:p>
        </w:tc>
      </w:tr>
      <w:tr>
        <w:tc>
          <w:tcPr>
            <w:tcW w:type="dxa" w:w="2880"/>
          </w:tcPr>
          <w:p>
            <w:r>
              <w:t>维护管理</w:t>
            </w:r>
          </w:p>
        </w:tc>
        <w:tc>
          <w:tcPr>
            <w:tcW w:type="dxa" w:w="2880"/>
          </w:tcPr>
          <w:p>
            <w:r>
              <w:t>巡检频率低或无日志追踪</w:t>
            </w:r>
          </w:p>
        </w:tc>
        <w:tc>
          <w:tcPr>
            <w:tcW w:type="dxa" w:w="2880"/>
          </w:tcPr>
          <w:p>
            <w:r>
              <w:t>故障或攻击难以及时发现</w:t>
            </w:r>
          </w:p>
        </w:tc>
      </w:tr>
    </w:tbl>
    <w:p>
      <w:pPr>
        <w:pStyle w:val="Heading1"/>
      </w:pPr>
      <w:r>
        <w:t>二、安全防护建议（分预算等级）</w:t>
      </w:r>
    </w:p>
    <w:p>
      <w:pPr>
        <w:pStyle w:val="Heading2"/>
      </w:pPr>
      <w:r>
        <w:t>1. 低预算方案（适合中小规模部署）</w:t>
      </w:r>
    </w:p>
    <w:p>
      <w:r>
        <w:t>✅ 增加物理保护: 加装防护罩、防震底座，避免外力破坏</w:t>
      </w:r>
    </w:p>
    <w:p>
      <w:r>
        <w:t>✅ 定期人工巡检: 安排每日/每周巡检，重点检查物理状态与采集数据</w:t>
      </w:r>
    </w:p>
    <w:p>
      <w:r>
        <w:t>✅ 使用防水防尘等级高的设备: 优先选择IP67等级以上的LiDAR</w:t>
      </w:r>
    </w:p>
    <w:p>
      <w:r>
        <w:t>✅ 设置物理遮挡区域: 在部署区设立围栏或摄像头威慑非法靠近者</w:t>
      </w:r>
    </w:p>
    <w:p>
      <w:r>
        <w:t>✅ 数据日志备份: 设置定期日志保存，便于追踪异常事件</w:t>
      </w:r>
    </w:p>
    <w:p>
      <w:pPr>
        <w:pStyle w:val="Heading2"/>
      </w:pPr>
      <w:r>
        <w:t>2. 中等预算方案</w:t>
      </w:r>
    </w:p>
    <w:p>
      <w:r>
        <w:t>✅ 网络流量监控: 加装轻量级网络监测器，识别异常访问或数据包行为（如使用 Zeek、Suricata）</w:t>
      </w:r>
    </w:p>
    <w:p>
      <w:r>
        <w:t>✅ 固件签名验证: 所有固件升级前进行签名校验，防止恶意代码注入</w:t>
      </w:r>
    </w:p>
    <w:p>
      <w:r>
        <w:t>✅ 本地访问控制: 启用认证机制，限制本地和远程访问权限</w:t>
      </w:r>
    </w:p>
    <w:p>
      <w:r>
        <w:t>✅ 加密通信: 对激光雷达与主控之间的数据流进行 TLS 加密</w:t>
      </w:r>
    </w:p>
    <w:p>
      <w:pPr>
        <w:pStyle w:val="Heading2"/>
      </w:pPr>
      <w:r>
        <w:t>3. 高预算方案（面向关键基础设施或城市级部署）</w:t>
      </w:r>
    </w:p>
    <w:p>
      <w:r>
        <w:t>✅ 入侵检测系统（IDS）: 建立专门的网络安全检测机制，发现攻击行为及时报警</w:t>
      </w:r>
    </w:p>
    <w:p>
      <w:r>
        <w:t>✅ 实时状态监控平台: 利用 SCADA 或自定义平台进行设备状态、温度、电压等实时监控</w:t>
      </w:r>
    </w:p>
    <w:p>
      <w:r>
        <w:t>✅ 红队测试: 定期进行渗透测试和红队演练，发现潜在安全弱点</w:t>
      </w:r>
    </w:p>
    <w:p>
      <w:r>
        <w:t>✅ AI 异常检测: 应用机器学习模型对采集数据进行行为分析，自动识别潜在光学攻击或假目标</w:t>
      </w:r>
    </w:p>
    <w:p>
      <w:r>
        <w:t>✅ 冗余部署: 关键区域配置多台激光雷达，形成数据冗余与比对，增强容错能力</w:t>
      </w:r>
    </w:p>
    <w:p>
      <w:pPr>
        <w:pStyle w:val="Heading1"/>
      </w:pPr>
      <w:r>
        <w:t>三、总结建议</w:t>
      </w:r>
    </w:p>
    <w:p>
      <w:r>
        <w:t>从最基础的物理防护做起，逐步拓展到网络与软件层面的监测。即使在低预算情况下，人力巡检+日志管理也能提升安全性。预算允许时，建议部署分层安全体系，从“防护 → 监测 → 响应”全链路进行保护。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