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🧱 Klipper Governance Framework – v1.7</w:t>
      </w:r>
    </w:p>
    <w:p>
      <w:r>
        <w:t>Generated: 2025-08-19 01:45</w:t>
      </w:r>
    </w:p>
    <w:p>
      <w:pPr>
        <w:pStyle w:val="Heading1"/>
      </w:pPr>
      <w:r>
        <w:t>New/Updated Rules</w:t>
      </w:r>
    </w:p>
    <w:p>
      <w:r>
        <w:t>• Semicolon ban in RESPOND.</w:t>
      </w:r>
    </w:p>
    <w:p>
      <w:r>
        <w:t>• Deferred persistence requires SAVE_CONFIG/RESTART.</w:t>
      </w:r>
    </w:p>
    <w:p>
      <w:r>
        <w:t>• In-session hydrator macros for setup.</w:t>
      </w:r>
    </w:p>
    <w:p>
      <w:r>
        <w:t>• Startup delay ≥2.0s for GOV_STARTUP_HYDRATE.</w:t>
      </w:r>
    </w:p>
    <w:p>
      <w:r>
        <w:t>• Avoid 'default' bed mesh name; use mapping.</w:t>
      </w:r>
    </w:p>
    <w:p>
      <w:r>
        <w:t>• SAVE_CONFIG hygiene: single marker; nothing below.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