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2"/>
        </w:rPr>
        <w:t>Delivery and Technical Team Guide</w:t>
      </w:r>
    </w:p>
    <w:p>
      <w:r>
        <w:rPr>
          <w:b w:val="0"/>
          <w:color w:val="555555"/>
          <w:sz w:val="17"/>
        </w:rPr>
        <w:t>How we deliver Claude rollouts and get credit for them · What to register · Which portal documents to use for each job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4CC"/>
          </w:tcPr>
          <w:p>
            <w:r>
              <w:rPr>
                <w:b/>
              </w:rPr>
              <w:t>Two jobs for the delivery team</w:t>
            </w:r>
          </w:p>
          <w:p>
            <w:r>
              <w:rPr>
                <w:b/>
              </w:rPr>
              <w:t>1. Register every Claude engagement</w:t>
            </w:r>
            <w:r>
              <w:rPr>
                <w:b w:val="0"/>
              </w:rPr>
              <w:t xml:space="preserve"> in the Partner Hub so it counts as a </w:t>
            </w:r>
            <w:r>
              <w:rPr>
                <w:b/>
              </w:rPr>
              <w:t>deployed joint customer</w:t>
            </w:r>
            <w:r>
              <w:rPr>
                <w:b w:val="0"/>
              </w:rPr>
              <w:t xml:space="preserve"> (we need 2 for Select).</w:t>
            </w:r>
          </w:p>
          <w:p>
            <w:r>
              <w:rPr>
                <w:b/>
              </w:rPr>
              <w:t>2. Deliver it the way Anthropic’s playbooks describe</w:t>
            </w:r>
            <w:r>
              <w:rPr>
                <w:b w:val="0"/>
              </w:rPr>
              <w:t xml:space="preserve"> – 90 days, three gates, measurable adoption and value – so the result is strong enough to become a public customer story.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1. Register delivery work (Services Registration)</w:t>
      </w:r>
    </w:p>
    <w:p>
      <w:r>
        <w:rPr>
          <w:b w:val="0"/>
        </w:rPr>
        <w:t xml:space="preserve">Open to </w:t>
      </w:r>
      <w:r>
        <w:rPr>
          <w:b/>
        </w:rPr>
        <w:t>every tier</w:t>
      </w:r>
      <w:r>
        <w:rPr>
          <w:b w:val="0"/>
        </w:rPr>
        <w:t xml:space="preserve">. This is how Anthropic knows we delivered a customer’s Claude deployment. </w:t>
      </w:r>
      <w:r>
        <w:rPr>
          <w:b/>
        </w:rPr>
        <w:t>Credit starts at stage 4 (Delivery Started) or later and counts once the deployment reaches sustained production use.</w:t>
      </w:r>
      <w:r>
        <w:rPr>
          <w:b w:val="0"/>
        </w:rPr>
        <w:t xml:space="preserve"> Pilots and proofs of concept do not count.</w:t>
      </w:r>
    </w:p>
    <w:p>
      <w:r>
        <w:drawing>
          <wp:inline xmlns:a="http://schemas.openxmlformats.org/drawingml/2006/main" xmlns:pic="http://schemas.openxmlformats.org/drawingml/2006/picture">
            <wp:extent cx="2901582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1582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7"/>
        </w:rPr>
        <w:t>Services Registration Guidebook, p.1 – what a Services Registration is and how it works.</w:t>
      </w:r>
    </w:p>
    <w:p>
      <w:pPr>
        <w:keepNext/>
      </w:pPr>
      <w:r>
        <w:rPr>
          <w:b/>
          <w:sz w:val="23"/>
        </w:rPr>
        <w:t>Step by step</w:t>
      </w:r>
    </w:p>
    <w:p>
      <w:pPr>
        <w:ind w:left="340"/>
      </w:pPr>
      <w:r>
        <w:rPr>
          <w:b w:val="0"/>
        </w:rPr>
        <w:t xml:space="preserve">☐  </w:t>
      </w:r>
      <w:r>
        <w:rPr>
          <w:b/>
        </w:rPr>
        <w:t>When:</w:t>
      </w:r>
      <w:r>
        <w:rPr>
          <w:b w:val="0"/>
        </w:rPr>
        <w:t xml:space="preserve"> register at scoping, and </w:t>
      </w:r>
      <w:r>
        <w:rPr>
          <w:b/>
        </w:rPr>
        <w:t>no later than 60 days after delivery work begins</w:t>
      </w:r>
      <w:r>
        <w:rPr>
          <w:b w:val="0"/>
        </w:rPr>
        <w:t>. Anthropic reviews within five business days.</w:t>
      </w:r>
    </w:p>
    <w:p>
      <w:pPr>
        <w:ind w:left="340"/>
      </w:pPr>
      <w:r>
        <w:rPr>
          <w:b w:val="0"/>
        </w:rPr>
        <w:t xml:space="preserve">☐  </w:t>
      </w:r>
      <w:r>
        <w:rPr>
          <w:b/>
        </w:rPr>
        <w:t>Where:</w:t>
      </w:r>
      <w:r>
        <w:rPr>
          <w:b w:val="0"/>
        </w:rPr>
        <w:t xml:space="preserve"> Partner Hub (partnerhub.anthropic.com) &gt; Services &gt; Submit Project. One registration per customer use case.</w:t>
      </w:r>
    </w:p>
    <w:p>
      <w:pPr>
        <w:ind w:left="340"/>
      </w:pPr>
      <w:r>
        <w:rPr>
          <w:b w:val="0"/>
        </w:rPr>
        <w:t xml:space="preserve">☐  </w:t>
      </w:r>
      <w:r>
        <w:rPr>
          <w:b/>
        </w:rPr>
        <w:t>Fill in:</w:t>
      </w:r>
      <w:r>
        <w:rPr>
          <w:b w:val="0"/>
        </w:rPr>
        <w:t xml:space="preserve"> customer company; a decision maker with signing authority and a </w:t>
      </w:r>
      <w:r>
        <w:rPr>
          <w:b/>
        </w:rPr>
        <w:t>work email</w:t>
      </w:r>
      <w:r>
        <w:rPr>
          <w:b w:val="0"/>
        </w:rPr>
        <w:t xml:space="preserve"> (no info@ or contact@); our delivery lead; start and end dates; Claude products; a short description of the use case.</w:t>
      </w:r>
    </w:p>
    <w:p>
      <w:pPr>
        <w:ind w:left="340"/>
      </w:pPr>
      <w:r>
        <w:rPr>
          <w:b w:val="0"/>
        </w:rPr>
        <w:t xml:space="preserve">☐  </w:t>
      </w:r>
      <w:r>
        <w:rPr>
          <w:b/>
        </w:rPr>
        <w:t>Organization ID:</w:t>
      </w:r>
      <w:r>
        <w:rPr>
          <w:b w:val="0"/>
        </w:rPr>
        <w:t xml:space="preserve"> required for every service type except pure training or advisory. Claude.ai customers: claude.ai &gt; Settings &gt; Account &gt; Organization ID. API customers: platform.claude.com &gt; Settings &gt; Organization. Customers on Bedrock, Vertex AI or Foundry give their AWS (12-digit), Google Cloud or Azure account ID. </w:t>
      </w:r>
      <w:r>
        <w:rPr>
          <w:b/>
        </w:rPr>
        <w:t>Without it the registration is rejected.</w:t>
      </w:r>
    </w:p>
    <w:p>
      <w:pPr>
        <w:ind w:left="340"/>
      </w:pPr>
      <w:r>
        <w:rPr>
          <w:b w:val="0"/>
        </w:rPr>
        <w:t xml:space="preserve">☐  </w:t>
      </w:r>
      <w:r>
        <w:rPr>
          <w:b/>
        </w:rPr>
        <w:t>SOW:</w:t>
      </w:r>
      <w:r>
        <w:rPr>
          <w:b w:val="0"/>
        </w:rPr>
        <w:t xml:space="preserve"> optional, but it moves you to the front of the queue; </w:t>
      </w:r>
      <w:r>
        <w:rPr>
          <w:b/>
        </w:rPr>
        <w:t>required</w:t>
      </w:r>
      <w:r>
        <w:rPr>
          <w:b w:val="0"/>
        </w:rPr>
        <w:t xml:space="preserve"> if the work is funding-eligible (pricing may be redacted).</w:t>
      </w:r>
    </w:p>
    <w:p>
      <w:pPr>
        <w:ind w:left="340"/>
      </w:pPr>
      <w:r>
        <w:rPr>
          <w:b w:val="0"/>
        </w:rPr>
        <w:t xml:space="preserve">☐  </w:t>
      </w:r>
      <w:r>
        <w:rPr>
          <w:b/>
        </w:rPr>
        <w:t>Keep the stage current:</w:t>
      </w:r>
      <w:r>
        <w:rPr>
          <w:b w:val="0"/>
        </w:rPr>
        <w:t xml:space="preserve"> 1 Scoping, 2 Proposal, 3 SOW confirmed, 4 Delivery started, 5 Delivery completed. Pending and stages 1–3 do not count yet.</w:t>
      </w:r>
    </w:p>
    <w:p>
      <w:pPr>
        <w:ind w:left="340"/>
      </w:pPr>
      <w:r>
        <w:rPr>
          <w:b w:val="0"/>
        </w:rPr>
        <w:t xml:space="preserve">☐  </w:t>
      </w:r>
      <w:r>
        <w:rPr>
          <w:b/>
        </w:rPr>
        <w:t>Answer any “missing information” request by the date given</w:t>
      </w:r>
      <w:r>
        <w:rPr>
          <w:b w:val="0"/>
        </w:rPr>
        <w:t xml:space="preserve"> or the registration is declined (you may resubmit).</w:t>
      </w:r>
    </w:p>
    <w:p>
      <w:pPr>
        <w:ind w:left="340"/>
      </w:pPr>
      <w:r>
        <w:rPr>
          <w:b w:val="0"/>
        </w:rPr>
        <w:t xml:space="preserve">☐  </w:t>
      </w:r>
      <w:r>
        <w:rPr>
          <w:b/>
        </w:rPr>
        <w:t>Check status:</w:t>
      </w:r>
      <w:r>
        <w:rPr>
          <w:b w:val="0"/>
        </w:rPr>
        <w:t xml:space="preserve"> Hub dashboard (Current Tier panel) refreshes weekly. Status is Pending, Approved or Rejected.</w:t>
      </w:r>
    </w:p>
    <w:p>
      <w:r>
        <w:drawing>
          <wp:inline xmlns:a="http://schemas.openxmlformats.org/drawingml/2006/main" xmlns:pic="http://schemas.openxmlformats.org/drawingml/2006/picture">
            <wp:extent cx="6120000" cy="3295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2_p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7"/>
        </w:rPr>
        <w:t>“03 Registering and working deals”, p.9 – what a complete registration needs (customer, contact, products, Organization ID).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0FE"/>
          </w:tcPr>
          <w:p>
            <w:r>
              <w:rPr>
                <w:b/>
              </w:rPr>
              <w:t>If two partners claim the same customer:</w:t>
            </w:r>
            <w:r>
              <w:rPr>
                <w:b w:val="0"/>
              </w:rPr>
              <w:t xml:space="preserve"> Anthropic settles delivery-lead conflicts within 10 business days, in this order of evidence: customer attestation, contracted scope, delivery activity, registration order.</w:t>
            </w:r>
          </w:p>
        </w:tc>
      </w:tr>
    </w:tbl>
    <w:p/>
    <w:p>
      <w:r>
        <w:br w:type="page"/>
      </w:r>
    </w:p>
    <w:p>
      <w:pPr>
        <w:keepNext/>
        <w:spacing w:before="200"/>
      </w:pPr>
      <w:r>
        <w:rPr>
          <w:b/>
          <w:color w:val="D4533B"/>
          <w:sz w:val="28"/>
        </w:rPr>
        <w:t>2. The delivery method in one picture</w:t>
      </w:r>
    </w:p>
    <w:p>
      <w:r>
        <w:rPr>
          <w:b w:val="0"/>
        </w:rPr>
        <w:t xml:space="preserve">Anthropic’s method has </w:t>
      </w:r>
      <w:r>
        <w:rPr>
          <w:b/>
        </w:rPr>
        <w:t>four steps</w:t>
      </w:r>
      <w:r>
        <w:rPr>
          <w:b w:val="0"/>
        </w:rPr>
        <w:t xml:space="preserve"> (“Activating Claude”): </w:t>
      </w:r>
      <w:r>
        <w:rPr>
          <w:b/>
        </w:rPr>
        <w:t>Day One → Stand-up → Department Activation → Enterprise Rollout</w:t>
      </w:r>
      <w:r>
        <w:rPr>
          <w:b w:val="0"/>
        </w:rPr>
        <w:t xml:space="preserve">, run over </w:t>
      </w:r>
      <w:r>
        <w:rPr>
          <w:b/>
        </w:rPr>
        <w:t>90 days with three gates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6120000" cy="35075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_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0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7"/>
        </w:rPr>
        <w:t>“03 The 90-day rollout map”, p.3 – days 0–30 lay the foundations, 30–60 activate, 60–90 prove and decide.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20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1446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6072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120"/>
          </w:tcPr>
          <w:p>
            <w:r/>
            <w:r>
              <w:rPr>
                <w:b w:val="0"/>
                <w:sz w:val="18"/>
              </w:rPr>
              <w:t>Wave one opens</w:t>
            </w:r>
          </w:p>
        </w:tc>
        <w:tc>
          <w:tcPr>
            <w:tcW w:type="dxa" w:w="1446"/>
          </w:tcPr>
          <w:p>
            <w:r/>
            <w:r>
              <w:rPr>
                <w:b w:val="0"/>
                <w:sz w:val="18"/>
              </w:rPr>
              <w:t>Day 30</w:t>
            </w:r>
          </w:p>
        </w:tc>
        <w:tc>
          <w:tcPr>
            <w:tcW w:type="dxa" w:w="6072"/>
          </w:tcPr>
          <w:p>
            <w:r/>
            <w:r>
              <w:rPr>
                <w:b w:val="0"/>
                <w:sz w:val="18"/>
              </w:rPr>
              <w:t>First cohort of 50–100 users across two to four whole teams; day-0 baseline recorded; about 60% weekly active and 20% beyond chat</w:t>
            </w:r>
          </w:p>
        </w:tc>
      </w:tr>
      <w:tr>
        <w:tc>
          <w:tcPr>
            <w:tcW w:type="dxa" w:w="2120"/>
          </w:tcPr>
          <w:p>
            <w:r/>
            <w:r>
              <w:rPr>
                <w:b w:val="0"/>
                <w:sz w:val="18"/>
              </w:rPr>
              <w:t>Adoption checkpoint</w:t>
            </w:r>
          </w:p>
        </w:tc>
        <w:tc>
          <w:tcPr>
            <w:tcW w:type="dxa" w:w="1446"/>
          </w:tcPr>
          <w:p>
            <w:r/>
            <w:r>
              <w:rPr>
                <w:b w:val="0"/>
                <w:sz w:val="18"/>
              </w:rPr>
              <w:t>About day 60</w:t>
            </w:r>
          </w:p>
        </w:tc>
        <w:tc>
          <w:tcPr>
            <w:tcW w:type="dxa" w:w="6072"/>
          </w:tcPr>
          <w:p>
            <w:r/>
            <w:r>
              <w:rPr>
                <w:b w:val="0"/>
                <w:sz w:val="18"/>
              </w:rPr>
              <w:t>About 70% weekly active and 35% beyond chat (example calibration – agree your own targets up front)</w:t>
            </w:r>
          </w:p>
        </w:tc>
      </w:tr>
      <w:tr>
        <w:tc>
          <w:tcPr>
            <w:tcW w:type="dxa" w:w="2120"/>
          </w:tcPr>
          <w:p>
            <w:r/>
            <w:r>
              <w:rPr>
                <w:b w:val="0"/>
                <w:sz w:val="18"/>
              </w:rPr>
              <w:t>Readout and scale decision</w:t>
            </w:r>
          </w:p>
        </w:tc>
        <w:tc>
          <w:tcPr>
            <w:tcW w:type="dxa" w:w="1446"/>
          </w:tcPr>
          <w:p>
            <w:r/>
            <w:r>
              <w:rPr>
                <w:b w:val="0"/>
                <w:sz w:val="18"/>
              </w:rPr>
              <w:t>About day 90</w:t>
            </w:r>
          </w:p>
        </w:tc>
        <w:tc>
          <w:tcPr>
            <w:tcW w:type="dxa" w:w="6072"/>
          </w:tcPr>
          <w:p>
            <w:r/>
            <w:r>
              <w:rPr>
                <w:b w:val="0"/>
                <w:sz w:val="18"/>
              </w:rPr>
              <w:t xml:space="preserve">Value against baseline, adoption and spend by week, three wins. One decision: scale, extend, adjust or stop. </w:t>
            </w:r>
            <w:r>
              <w:rPr>
                <w:b/>
                <w:sz w:val="18"/>
              </w:rPr>
              <w:t>The customer’s sponsor presents it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3. Delivery documents – what each is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0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Document (portal name)</w:t>
            </w:r>
          </w:p>
        </w:tc>
        <w:tc>
          <w:tcPr>
            <w:tcW w:type="dxa" w:w="4337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891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Use it when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/>
                <w:sz w:val="18"/>
              </w:rPr>
              <w:t>Claude Partner Delivery Playbook</w:t>
            </w:r>
            <w:r>
              <w:rPr>
                <w:b w:val="0"/>
                <w:sz w:val="18"/>
              </w:rPr>
              <w:t xml:space="preserve"> (78 pages)</w:t>
            </w:r>
          </w:p>
        </w:tc>
        <w:tc>
          <w:tcPr>
            <w:tcW w:type="dxa" w:w="4337"/>
          </w:tcPr>
          <w:p>
            <w:r/>
            <w:r>
              <w:rPr>
                <w:b w:val="0"/>
                <w:sz w:val="18"/>
              </w:rPr>
              <w:t>The master document: 90-day yes/no checklist (p.3–15), three expert guides – Track A security and governance, B solution engineering and cost, C activation and value – and admin-console walkthroughs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Every first account. Start with the checklist; assign Tracks A / B / C to matching people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/>
                <w:sz w:val="18"/>
              </w:rPr>
              <w:t>Deployment reference checklist</w:t>
            </w:r>
          </w:p>
        </w:tc>
        <w:tc>
          <w:tcPr>
            <w:tcW w:type="dxa" w:w="4337"/>
          </w:tcPr>
          <w:p>
            <w:r/>
            <w:r>
              <w:rPr>
                <w:b w:val="0"/>
                <w:sz w:val="18"/>
              </w:rPr>
              <w:t>The playbook’s checklist as a standalone: eight blocks, sign-off, ten client FAQs, escalation list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Customer kickoff – print it and get four signatures (delivery lead, executive sponsor, security owner, budget owner)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/>
                <w:sz w:val="18"/>
              </w:rPr>
              <w:t>Delivery field guides</w:t>
            </w:r>
          </w:p>
        </w:tc>
        <w:tc>
          <w:tcPr>
            <w:tcW w:type="dxa" w:w="4337"/>
          </w:tcPr>
          <w:p>
            <w:r/>
            <w:r>
              <w:rPr>
                <w:b w:val="0"/>
                <w:sz w:val="18"/>
              </w:rPr>
              <w:t>Short tour of Tracks A, B, C, one page per decision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Briefing for practitioners before opening the full playbook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/>
                <w:sz w:val="18"/>
              </w:rPr>
              <w:t>Delivery templates (Activating Claude) v4.0</w:t>
            </w:r>
          </w:p>
        </w:tc>
        <w:tc>
          <w:tcPr>
            <w:tcW w:type="dxa" w:w="4337"/>
          </w:tcPr>
          <w:p>
            <w:r/>
            <w:r>
              <w:rPr>
                <w:b w:val="0"/>
                <w:sz w:val="18"/>
              </w:rPr>
              <w:t>13 fill-in templates, T1 to T13: intake page, day-0 baseline, adoption plan (nine named roles), entry and exit checklists, week-by-week plan, go-live announcement, stand-up readout, eight derailers, day-90 readout, recommendations, wave plan, two-weekly update to Anthropic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Copy into our own folder; send T5 to the sponsor at kickoff; schedule T13 every two weeks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/>
                <w:sz w:val="18"/>
              </w:rPr>
              <w:t>Claude Code deployment checklist v4.0</w:t>
            </w:r>
          </w:p>
        </w:tc>
        <w:tc>
          <w:tcPr>
            <w:tcW w:type="dxa" w:w="4337"/>
          </w:tcPr>
          <w:p>
            <w:r/>
            <w:r>
              <w:rPr>
                <w:b w:val="0"/>
                <w:sz w:val="18"/>
              </w:rPr>
              <w:t>12 items: where model traffic goes, sign-in, policy to laptops, network, permissions, MCP governance, telemetry, spend controls, repository readiness, then pilot 10–30 developers, widen, hand over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Any engagement that includes Claude Code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/>
                <w:sz w:val="18"/>
              </w:rPr>
              <w:t>The Claude Activation Workshop set</w:t>
            </w:r>
          </w:p>
        </w:tc>
        <w:tc>
          <w:tcPr>
            <w:tcW w:type="dxa" w:w="4337"/>
          </w:tcPr>
          <w:p>
            <w:r/>
            <w:r>
              <w:rPr>
                <w:b w:val="0"/>
                <w:sz w:val="18"/>
              </w:rPr>
              <w:t>Starter kit for the first four weeks with a customer that already has seats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Kickoff agenda for the first practitioner session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/>
                <w:sz w:val="18"/>
              </w:rPr>
              <w:t>Activating Claude (Partner Toolkit 1 of 3)</w:t>
            </w:r>
          </w:p>
        </w:tc>
        <w:tc>
          <w:tcPr>
            <w:tcW w:type="dxa" w:w="4337"/>
          </w:tcPr>
          <w:p>
            <w:r/>
            <w:r>
              <w:rPr>
                <w:b w:val="0"/>
                <w:sz w:val="18"/>
              </w:rPr>
              <w:t>Example four-step method for outcome-based activation, with visible gates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Our service menu and scoping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/>
                <w:sz w:val="18"/>
              </w:rPr>
              <w:t>03 Measuring customer value</w:t>
            </w:r>
          </w:p>
        </w:tc>
        <w:tc>
          <w:tcPr>
            <w:tcW w:type="dxa" w:w="4337"/>
          </w:tcPr>
          <w:p>
            <w:r/>
            <w:r>
              <w:rPr>
                <w:b w:val="0"/>
                <w:sz w:val="18"/>
              </w:rPr>
              <w:t>How to agree measurable value with finance on Day One: baseline (60–90 day lookback), checkpoints, day-90 readout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Every kickoff – it produces the numbers a public story needs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/>
                <w:sz w:val="18"/>
              </w:rPr>
              <w:t>Account maturity map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b/>
                <w:sz w:val="18"/>
              </w:rPr>
              <w:t>Partner Opportunity Brief</w:t>
            </w:r>
          </w:p>
        </w:tc>
        <w:tc>
          <w:tcPr>
            <w:tcW w:type="dxa" w:w="4337"/>
          </w:tcPr>
          <w:p>
            <w:r/>
            <w:r>
              <w:rPr>
                <w:b w:val="0"/>
                <w:sz w:val="18"/>
              </w:rPr>
              <w:t>One-page grid of what is delivered / in flight / not started per customer function; short brief for the Anthropic partner manager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Maturity map: before each proposal. Brief: only when we have a partner manager (see note)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4CC"/>
          </w:tcPr>
          <w:p>
            <w:r>
              <w:rPr>
                <w:b/>
              </w:rPr>
              <w:t>Note on the Opportunity Brief:</w:t>
            </w:r>
            <w:r>
              <w:rPr>
                <w:b w:val="0"/>
              </w:rPr>
              <w:t xml:space="preserve"> it is sent to an Anthropic </w:t>
            </w:r>
            <w:r>
              <w:rPr>
                <w:b/>
              </w:rPr>
              <w:t>partner manager</w:t>
            </w:r>
            <w:r>
              <w:rPr>
                <w:b w:val="0"/>
              </w:rPr>
              <w:t xml:space="preserve"> after the deal is registered. Certified firms do not have a named partner manager – ask PAM AI who to send it to.</w:t>
            </w:r>
          </w:p>
        </w:tc>
      </w:tr>
    </w:tbl>
    <w:p/>
    <w:p>
      <w:r>
        <w:br w:type="page"/>
      </w:r>
    </w:p>
    <w:p>
      <w:pPr>
        <w:keepNext/>
        <w:spacing w:before="200"/>
      </w:pPr>
      <w:r>
        <w:rPr>
          <w:b/>
          <w:color w:val="D4533B"/>
          <w:sz w:val="28"/>
        </w:rPr>
        <w:t>4. First-account checklist (do these in order)</w:t>
      </w:r>
    </w:p>
    <w:p>
      <w:pPr>
        <w:ind w:left="340"/>
      </w:pPr>
      <w:r>
        <w:rPr>
          <w:b w:val="0"/>
        </w:rPr>
        <w:t>☐  Register the engagement (Hub &gt; Services) and collect the customer’s Organization ID.</w:t>
      </w:r>
    </w:p>
    <w:p>
      <w:pPr>
        <w:ind w:left="340"/>
      </w:pPr>
      <w:r>
        <w:rPr>
          <w:b w:val="0"/>
        </w:rPr>
        <w:t>☐  Book the customer’s platform, security and identity teams for Day One; run the Claude Code checklist items 1–4 first if Claude Code is in scope.</w:t>
      </w:r>
    </w:p>
    <w:p>
      <w:pPr>
        <w:ind w:left="340"/>
      </w:pPr>
      <w:r>
        <w:rPr>
          <w:b w:val="0"/>
        </w:rPr>
        <w:t xml:space="preserve">☐  Capture the </w:t>
      </w:r>
      <w:r>
        <w:rPr>
          <w:b/>
        </w:rPr>
        <w:t>day-0 baseline</w:t>
      </w:r>
      <w:r>
        <w:rPr>
          <w:b w:val="0"/>
        </w:rPr>
        <w:t xml:space="preserve"> (hold first access until it is on file) and have finance sign the value target.</w:t>
      </w:r>
    </w:p>
    <w:p>
      <w:pPr>
        <w:ind w:left="340"/>
      </w:pPr>
      <w:r>
        <w:rPr>
          <w:b w:val="0"/>
        </w:rPr>
        <w:t>☐  Fill the adoption plan with nine named roles (first four by kickoff).</w:t>
      </w:r>
    </w:p>
    <w:p>
      <w:pPr>
        <w:ind w:left="340"/>
      </w:pPr>
      <w:r>
        <w:rPr>
          <w:b w:val="0"/>
        </w:rPr>
        <w:t>☐  Run the entry checklist; agree adoption targets and gates in writing.</w:t>
      </w:r>
    </w:p>
    <w:p>
      <w:pPr>
        <w:ind w:left="340"/>
      </w:pPr>
      <w:r>
        <w:rPr>
          <w:b w:val="0"/>
        </w:rPr>
        <w:t>☐  Every cohort gets the “101” within five business days of provisioning; admins trained two to three weeks before launch; 1–3 connectors live by end of week one.</w:t>
      </w:r>
    </w:p>
    <w:p>
      <w:pPr>
        <w:ind w:left="340"/>
      </w:pPr>
      <w:r>
        <w:rPr>
          <w:b w:val="0"/>
        </w:rPr>
        <w:t>☐  Send the two-weekly update (T13) and use PAM AI for escalations (data retention, encryption keys, capacity, model issues).</w:t>
      </w:r>
    </w:p>
    <w:p>
      <w:pPr>
        <w:ind w:left="340"/>
      </w:pPr>
      <w:r>
        <w:rPr>
          <w:b w:val="0"/>
        </w:rPr>
        <w:t>☐  At day 90 the sponsor presents the readout; update the Services Registration to the right stage.</w:t>
      </w:r>
    </w:p>
    <w:p>
      <w:pPr>
        <w:ind w:left="340"/>
      </w:pPr>
      <w:r>
        <w:rPr>
          <w:b w:val="0"/>
        </w:rPr>
        <w:t xml:space="preserve">☐  Ask the customer for a </w:t>
      </w:r>
      <w:r>
        <w:rPr>
          <w:b/>
        </w:rPr>
        <w:t>public story with a measurable result</w:t>
      </w:r>
      <w:r>
        <w:rPr>
          <w:b w:val="0"/>
        </w:rPr>
        <w:t xml:space="preserve"> – tell the owner and marketing.</w:t>
      </w:r>
    </w:p>
    <w:p>
      <w:pPr>
        <w:keepNext/>
        <w:spacing w:before="200"/>
      </w:pPr>
      <w:r>
        <w:rPr>
          <w:b/>
          <w:color w:val="D4533B"/>
          <w:sz w:val="28"/>
        </w:rPr>
        <w:t>5. Packaging what we can repeat</w:t>
      </w:r>
    </w:p>
    <w:p>
      <w:pPr>
        <w:pStyle w:val="ListBullet"/>
      </w:pPr>
      <w:r>
        <w:rPr>
          <w:b/>
        </w:rPr>
        <w:t>Partner Solution Buildbook framework</w:t>
      </w:r>
      <w:r>
        <w:rPr>
          <w:b w:val="0"/>
        </w:rPr>
        <w:t xml:space="preserve"> and </w:t>
      </w:r>
      <w:r>
        <w:rPr>
          <w:b/>
        </w:rPr>
        <w:t>Industry / Horizontal buildbooks</w:t>
      </w:r>
      <w:r>
        <w:rPr>
          <w:b w:val="0"/>
        </w:rPr>
        <w:t xml:space="preserve"> – how to describe one repeatable offering (customer, partner, Claude bands plus a bill of materials). Starter buildbooks are visible at Select and above; ask PAM whether any are available to us now.</w:t>
      </w:r>
    </w:p>
    <w:p>
      <w:pPr>
        <w:pStyle w:val="ListBullet"/>
      </w:pPr>
      <w:r>
        <w:rPr>
          <w:b/>
        </w:rPr>
        <w:t>Horizontal buildbook outlines:</w:t>
      </w:r>
      <w:r>
        <w:rPr>
          <w:b w:val="0"/>
        </w:rPr>
        <w:t xml:space="preserve"> Claude Code activation, Cowork department activation, security (cyber) services. </w:t>
      </w:r>
      <w:r>
        <w:rPr>
          <w:b/>
        </w:rPr>
        <w:t>Industry evidence packs</w:t>
      </w:r>
      <w:r>
        <w:rPr>
          <w:b w:val="0"/>
        </w:rPr>
        <w:t xml:space="preserve"> (8 industries) – fill only where we have delivered proof.</w:t>
      </w:r>
    </w:p>
    <w:p>
      <w:pPr>
        <w:pStyle w:val="ListBullet"/>
      </w:pPr>
      <w:r>
        <w:rPr>
          <w:b/>
        </w:rPr>
        <w:t>Practice self-check</w:t>
      </w:r>
      <w:r>
        <w:rPr>
          <w:b w:val="0"/>
        </w:rPr>
        <w:t xml:space="preserve"> (“04 Practice self-check”) – a yes / not-yet scorecard to run every 30 days; “01 Building your Claude practice” explains roles and the Delivery Readiness Designation.</w:t>
      </w:r>
    </w:p>
    <w:p>
      <w:pPr>
        <w:keepNext/>
        <w:spacing w:before="200"/>
      </w:pPr>
      <w:r>
        <w:rPr>
          <w:b/>
          <w:color w:val="D4533B"/>
          <w:sz w:val="28"/>
        </w:rPr>
        <w:t>6. Technical product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06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4241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Portal document</w:t>
            </w:r>
          </w:p>
        </w:tc>
        <w:tc>
          <w:tcPr>
            <w:tcW w:type="dxa" w:w="2891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Claude Code</w:t>
            </w:r>
          </w:p>
        </w:tc>
        <w:tc>
          <w:tcPr>
            <w:tcW w:type="dxa" w:w="4241"/>
          </w:tcPr>
          <w:p>
            <w:r/>
            <w:r>
              <w:rPr>
                <w:b w:val="0"/>
                <w:sz w:val="18"/>
              </w:rPr>
              <w:t>Claude Code deck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CONFIDENTIAL – internal. p.16 six-sprint modernization example</w:t>
            </w:r>
          </w:p>
        </w:tc>
      </w:tr>
      <w:tr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Cowork</w:t>
            </w:r>
          </w:p>
        </w:tc>
        <w:tc>
          <w:tcPr>
            <w:tcW w:type="dxa" w:w="4241"/>
          </w:tcPr>
          <w:p>
            <w:r/>
            <w:r>
              <w:rPr>
                <w:b w:val="0"/>
                <w:sz w:val="18"/>
              </w:rPr>
              <w:t>Claude Cowork deck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CONFIDENTIAL – internal</w:t>
            </w:r>
          </w:p>
        </w:tc>
      </w:tr>
      <w:tr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Developer platform and API</w:t>
            </w:r>
          </w:p>
        </w:tc>
        <w:tc>
          <w:tcPr>
            <w:tcW w:type="dxa" w:w="4241"/>
          </w:tcPr>
          <w:p>
            <w:r/>
            <w:r>
              <w:rPr>
                <w:b w:val="0"/>
                <w:sz w:val="18"/>
              </w:rPr>
              <w:t>Claude Developer Platform deck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Dated (mid-2025 data) – check live docs</w:t>
            </w:r>
          </w:p>
        </w:tc>
      </w:tr>
      <w:tr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Agents, Skills, MCP, Agent SDK</w:t>
            </w:r>
          </w:p>
        </w:tc>
        <w:tc>
          <w:tcPr>
            <w:tcW w:type="dxa" w:w="4241"/>
          </w:tcPr>
          <w:p>
            <w:r/>
            <w:r>
              <w:rPr>
                <w:b w:val="0"/>
                <w:sz w:val="18"/>
              </w:rPr>
              <w:t>Agents; Agent Skills; Claude and MCP; Claude Agent SDK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CONFIDENTIAL – internal. Plus free courses and repos in the portal (see Document Index)</w:t>
            </w:r>
          </w:p>
        </w:tc>
      </w:tr>
      <w:tr>
        <w:tc>
          <w:tcPr>
            <w:tcW w:type="dxa" w:w="2506"/>
          </w:tcPr>
          <w:p>
            <w:r/>
            <w:r>
              <w:rPr>
                <w:b w:val="0"/>
                <w:sz w:val="18"/>
              </w:rPr>
              <w:t>Model migration and breaking changes</w:t>
            </w:r>
          </w:p>
        </w:tc>
        <w:tc>
          <w:tcPr>
            <w:tcW w:type="dxa" w:w="4241"/>
          </w:tcPr>
          <w:p>
            <w:r/>
            <w:r>
              <w:rPr>
                <w:b w:val="0"/>
                <w:sz w:val="18"/>
              </w:rPr>
              <w:t>Sales FAQs for Haiku 5.5, Sonnet 5.5, Opus 5.5, Fable 5.1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Read the FAQ for your model before migrating customers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7. Caveats in the delivery documents</w:t>
      </w:r>
    </w:p>
    <w:p>
      <w:pPr>
        <w:pStyle w:val="ListBullet"/>
      </w:pPr>
      <w:r>
        <w:rPr>
          <w:b/>
        </w:rPr>
        <w:t>Prices and beta features:</w:t>
      </w:r>
      <w:r>
        <w:rPr>
          <w:b w:val="0"/>
        </w:rPr>
        <w:t xml:space="preserve"> the Playbook’s rate card was last verified </w:t>
      </w:r>
      <w:r>
        <w:rPr>
          <w:b/>
        </w:rPr>
        <w:t>18 August 2026</w:t>
      </w:r>
      <w:r>
        <w:rPr>
          <w:b w:val="0"/>
        </w:rPr>
        <w:t xml:space="preserve"> – re-check every price, model name and beta feature before quoting.</w:t>
      </w:r>
    </w:p>
    <w:p>
      <w:pPr>
        <w:pStyle w:val="ListBullet"/>
      </w:pPr>
      <w:r>
        <w:rPr>
          <w:b/>
        </w:rPr>
        <w:t>Small inconsistencies:</w:t>
      </w:r>
      <w:r>
        <w:rPr>
          <w:b w:val="0"/>
        </w:rPr>
        <w:t xml:space="preserve"> exit checklist has 6 items in one document and 8 in others; adoption targets are 60% in some places and 70% in others; the Workshop set’s week-4 row looks like a copy error. Agree one version with the customer and write it down.</w:t>
      </w:r>
    </w:p>
    <w:p>
      <w:pPr>
        <w:pStyle w:val="ListBullet"/>
      </w:pPr>
      <w:r>
        <w:rPr>
          <w:b/>
        </w:rPr>
        <w:t>Tier:</w:t>
      </w:r>
      <w:r>
        <w:rPr>
          <w:b w:val="0"/>
        </w:rPr>
        <w:t xml:space="preserve"> nothing in the delivery documents is gated to a tier except references to a named Partner Success Lead and funded engagements – confirm with PAM AI.</w:t>
      </w:r>
    </w:p>
    <w:sectPr w:rsidR="00FC693F" w:rsidRPr="0006063C" w:rsidSect="00034616">
      <w:footerReference w:type="default" r:id="rId12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Delivery and Technical Team Guide  |  Internal use – do not share outside the firm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and Technical Team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