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C1426"/>
          <w:spacing w:val="80"/>
          <w:sz w:val="40"/>
          <w:szCs w:val="40"/>
        </w:rPr>
        <w:t xml:space="preserve">Ge</w:t>
      </w:r>
      <w:r>
        <w:rPr>
          <w:rFonts w:ascii="Calibri" w:cs="Calibri" w:eastAsia="Calibri" w:hAnsi="Calibri"/>
          <w:b/>
          <w:bCs/>
          <w:color w:val="2563EB"/>
          <w:spacing w:val="80"/>
          <w:sz w:val="40"/>
          <w:szCs w:val="40"/>
        </w:rPr>
        <w:t xml:space="preserve">nn</w:t>
      </w:r>
      <w:r>
        <w:rPr>
          <w:rFonts w:ascii="Calibri" w:cs="Calibri" w:eastAsia="Calibri" w:hAnsi="Calibri"/>
          <w:b/>
          <w:bCs/>
          <w:color w:val="F59E0B"/>
          <w:spacing w:val="80"/>
          <w:sz w:val="40"/>
          <w:szCs w:val="40"/>
        </w:rPr>
        <w:t xml:space="preserve">oo</w:t>
      </w:r>
      <w:r>
        <w:rPr>
          <w:rFonts w:ascii="Calibri" w:cs="Calibri" w:eastAsia="Calibri" w:hAnsi="Calibri"/>
          <w:b/>
          <w:bCs/>
          <w:color w:val="0C1426"/>
          <w:spacing w:val="80"/>
          <w:sz w:val="40"/>
          <w:szCs w:val="40"/>
        </w:rPr>
        <w:t xml:space="preserve">r Tech</w:t>
      </w:r>
    </w:p>
    <w:p>
      <w:pPr>
        <w:spacing w:after="320"/>
        <w:jc w:val="center"/>
      </w:pPr>
      <w:r>
        <w:rPr>
          <w:rFonts w:ascii="Consolas" w:cs="Consolas" w:eastAsia="Consolas" w:hAnsi="Consolas"/>
          <w:color w:val="F59E0B"/>
          <w:spacing w:val="120"/>
          <w:sz w:val="18"/>
          <w:szCs w:val="18"/>
        </w:rPr>
        <w:t xml:space="preserve">AB-100  ·  COURSE INTRODUCTION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C1426"/>
          <w:sz w:val="44"/>
          <w:szCs w:val="44"/>
        </w:rPr>
        <w:t xml:space="preserve">Architecting Agentic AI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0C1426"/>
          <w:sz w:val="44"/>
          <w:szCs w:val="44"/>
        </w:rPr>
        <w:t xml:space="preserve">Business Solutions</w:t>
      </w:r>
    </w:p>
    <w:p>
      <w:pPr>
        <w:pBdr>
          <w:top w:val="none" w:color="FFFFFF" w:sz="0"/>
          <w:bottom w:val="single" w:color="2563EB" w:sz="12" w:space="6"/>
          <w:left w:val="none" w:color="FFFFFF" w:sz="0"/>
          <w:right w:val="none" w:color="FFFFFF" w:sz="0"/>
        </w:pBdr>
        <w:spacing w:after="360"/>
        <w:jc w:val="center"/>
      </w:pPr>
      <w:r>
        <w:rPr>
          <w:rFonts w:ascii="Consolas" w:cs="Consolas" w:eastAsia="Consolas" w:hAnsi="Consolas"/>
          <w:color w:val="475569"/>
          <w:spacing w:val="80"/>
          <w:sz w:val="22"/>
          <w:szCs w:val="22"/>
        </w:rPr>
        <w:t xml:space="preserve">CHAPTER 00  ·  NOTES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0F172A"/>
          <w:sz w:val="26"/>
          <w:szCs w:val="26"/>
        </w:rPr>
        <w:t xml:space="preserve">Course Overview · Exam Map · Chapter Guide</w:t>
      </w:r>
    </w:p>
    <w:p>
      <w:pPr>
        <w:spacing w:after="60" w:before="600"/>
        <w:jc w:val="center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How to use these notes:</w:t>
      </w:r>
    </w:p>
    <w:p>
      <w:pPr>
        <w:spacing w:after="80" w:before="120"/>
        <w:jc w:val="center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Each slide has opening notes, then numbered steps that match the on-screen reveals.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Read the opening, then press → and read the next step's notes as each component appears.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slide deck and these notes reveal in lockstep.</w:t>
      </w:r>
    </w:p>
    <w:p>
      <w:r>
        <w:br w:type="page"/>
      </w:r>
    </w:p>
    <w:p>
      <w:pPr>
        <w:pBdr>
          <w:top w:val="none" w:color="FFFFFF" w:sz="0"/>
          <w:bottom w:val="single" w:color="2563EB" w:sz="12" w:space="4"/>
          <w:left w:val="none" w:color="FFFFFF" w:sz="0"/>
          <w:right w:val="none" w:color="FFFFFF" w:sz="0"/>
        </w:pBdr>
        <w:spacing w:after="80" w:before="360"/>
      </w:pPr>
      <w:r>
        <w:rPr>
          <w:rFonts w:ascii="Consolas" w:cs="Consolas" w:eastAsia="Consolas" w:hAnsi="Consolas"/>
          <w:b/>
          <w:bCs/>
          <w:color w:val="2563EB"/>
          <w:spacing w:val="60"/>
          <w:sz w:val="18"/>
          <w:szCs w:val="18"/>
        </w:rPr>
        <w:t xml:space="preserve">SLIDE 01</w:t>
      </w:r>
      <w:r>
        <w:rPr>
          <w:color w:val="CCCCCC"/>
          <w:sz w:val="18"/>
          <w:szCs w:val="18"/>
        </w:rPr>
        <w:t xml:space="preserve">   |   </w:t>
      </w:r>
      <w:r>
        <w:rPr>
          <w:rFonts w:ascii="Calibri" w:cs="Calibri" w:eastAsia="Calibri" w:hAnsi="Calibri"/>
          <w:b/>
          <w:bCs/>
          <w:color w:val="0C1426"/>
          <w:sz w:val="22"/>
          <w:szCs w:val="22"/>
        </w:rPr>
        <w:t xml:space="preserve">Title Slide — Course Introduction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Slide type: Course opener  ·  No step reveals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563EB"/>
          <w:spacing w:val="80"/>
          <w:sz w:val="16"/>
          <w:szCs w:val="16"/>
        </w:rPr>
        <w:t xml:space="preserve">OPENING NOTES (slide loads)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Welcome to AB-100. Architecting Agentic AI Business Solutions. Self-paced course. Twelve chapters mapped to Microsoft's exam objectives.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Architecture-first — we focus on design judgment, trade-offs, and decision frameworks rather than step-by-step configuration. By the end of this course you'll be able to defend an AI architecture decision in front of an enterprise audit committee.</w:t>
      </w:r>
    </w:p>
    <w:p>
      <w:pPr>
        <w:pBdr>
          <w:top w:val="single" w:color="F59E0B" w:sz="4"/>
          <w:bottom w:val="single" w:color="F59E0B" w:sz="4"/>
          <w:left w:val="single" w:color="F59E0B" w:sz="4"/>
          <w:right w:val="single" w:color="F59E0B" w:sz="4"/>
        </w:pBdr>
        <w:shd w:fill="FEF3C7" w:val="clear"/>
        <w:spacing w:after="120" w:before="8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Prep guide: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Confirm room setup. Check that all participants have the chapter materials. Brief introduction round if group is unfamiliar — names, roles, organizations, AI architecture experience.</w:t>
      </w:r>
    </w:p>
    <w:p>
      <w:pPr>
        <w:pBdr>
          <w:top w:val="none" w:color="FFFFFF" w:sz="0"/>
          <w:bottom w:val="single" w:color="2563EB" w:sz="12" w:space="4"/>
          <w:left w:val="none" w:color="FFFFFF" w:sz="0"/>
          <w:right w:val="none" w:color="FFFFFF" w:sz="0"/>
        </w:pBdr>
        <w:spacing w:after="80" w:before="360"/>
      </w:pPr>
      <w:r>
        <w:rPr>
          <w:rFonts w:ascii="Consolas" w:cs="Consolas" w:eastAsia="Consolas" w:hAnsi="Consolas"/>
          <w:b/>
          <w:bCs/>
          <w:color w:val="2563EB"/>
          <w:spacing w:val="60"/>
          <w:sz w:val="18"/>
          <w:szCs w:val="18"/>
        </w:rPr>
        <w:t xml:space="preserve">SLIDE 02</w:t>
      </w:r>
      <w:r>
        <w:rPr>
          <w:color w:val="CCCCCC"/>
          <w:sz w:val="18"/>
          <w:szCs w:val="18"/>
        </w:rPr>
        <w:t xml:space="preserve">   |   </w:t>
      </w:r>
      <w:r>
        <w:rPr>
          <w:rFonts w:ascii="Calibri" w:cs="Calibri" w:eastAsia="Calibri" w:hAnsi="Calibri"/>
          <w:b/>
          <w:bCs/>
          <w:color w:val="0C1426"/>
          <w:sz w:val="22"/>
          <w:szCs w:val="22"/>
        </w:rPr>
        <w:t xml:space="preserve">Welcome — What this course is and isn't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Slide type: 2 welcome cards  ·  2 steps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563EB"/>
          <w:spacing w:val="80"/>
          <w:sz w:val="16"/>
          <w:szCs w:val="16"/>
        </w:rPr>
        <w:t xml:space="preserve">OPENING NOTES (slide loads)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Welcome. Two things you should know about this course before we start. What it is — and what it isn't. I'll bring up each.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1/2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What this course IS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What this course is. Architecture-first preparation for the AB-100 exam and for real-world enterprise AI architecture work. We focus on design judgment — the trade-offs, the decision frameworks, the why before the how. Decision frameworks and trade-off analysis. Scenario-based learning across ten enterprise scenarios. End-to-end coverage from plan through design through deploy. Aligned to AB-100 exam objectives. By the end, you'll be able to defend an AI architecture decision in front of an enterprise audit committee.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2/2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What this course ISN'T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What this course isn't. Not a step-by-step configuration tutorial. Not a hands-on lab series. Not surface-level feature demos. This is an architect-level course — we trust you to know how to click buttons. We're here to teach you when, why, and what to design. If you came expecting click-by-click tutorials, you may want to consider AB-730 instead. This course assumes you can configure tools.</w:t>
      </w:r>
    </w:p>
    <w:p>
      <w:pPr>
        <w:pBdr>
          <w:top w:val="none" w:color="FFFFFF" w:sz="0"/>
          <w:bottom w:val="single" w:color="2563EB" w:sz="12" w:space="4"/>
          <w:left w:val="none" w:color="FFFFFF" w:sz="0"/>
          <w:right w:val="none" w:color="FFFFFF" w:sz="0"/>
        </w:pBdr>
        <w:spacing w:after="80" w:before="360"/>
      </w:pPr>
      <w:r>
        <w:rPr>
          <w:rFonts w:ascii="Consolas" w:cs="Consolas" w:eastAsia="Consolas" w:hAnsi="Consolas"/>
          <w:b/>
          <w:bCs/>
          <w:color w:val="2563EB"/>
          <w:spacing w:val="60"/>
          <w:sz w:val="18"/>
          <w:szCs w:val="18"/>
        </w:rPr>
        <w:t xml:space="preserve">SLIDE 03</w:t>
      </w:r>
      <w:r>
        <w:rPr>
          <w:color w:val="CCCCCC"/>
          <w:sz w:val="18"/>
          <w:szCs w:val="18"/>
        </w:rPr>
        <w:t xml:space="preserve">   |   </w:t>
      </w:r>
      <w:r>
        <w:rPr>
          <w:rFonts w:ascii="Calibri" w:cs="Calibri" w:eastAsia="Calibri" w:hAnsi="Calibri"/>
          <w:b/>
          <w:bCs/>
          <w:color w:val="0C1426"/>
          <w:sz w:val="22"/>
          <w:szCs w:val="22"/>
        </w:rPr>
        <w:t xml:space="preserve">Course at a Glance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Slide type: 4 stat tiles  ·  4 steps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563EB"/>
          <w:spacing w:val="80"/>
          <w:sz w:val="16"/>
          <w:szCs w:val="16"/>
        </w:rPr>
        <w:t xml:space="preserve">OPENING NOTES (slide loads)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Course at a glance. Four key numbers. Twelve chapters. Self-paced. Ten enterprise scenarios. Forty-four knowledge checks. Architecture-first. I'll bring them up one at a time.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1/4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11 Chapters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Twelve chapters. Eleven content chapters plus a final revision chapter. Mapped one-to-one with Microsoft's published exam objectives.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2/4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50 Mock Questions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One full mock exam — fifty questions across all four AB-100 question types. Hundred-twenty minute timer. Pattern-matched to the real exam, including drag-and-drop, hotspot dropdowns, and case-study questions. Use it as a final readiness check before booking the AB-100.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3/4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10 Scenarios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Ten enterprise scenarios. Real architecture challenges — banking, pharma, manufacturing, retail. Each scenario has discussion points and architect-grade answers in the reveal panel.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4/4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44 Knowledge Checks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Forty-four knowledge checks. Approximately four per chapter. Pattern-matched to AB-100 exam style — scenario-based with explanation per option.</w:t>
      </w:r>
    </w:p>
    <w:p>
      <w:pPr>
        <w:pBdr>
          <w:top w:val="none" w:color="FFFFFF" w:sz="0"/>
          <w:bottom w:val="single" w:color="2563EB" w:sz="12" w:space="4"/>
          <w:left w:val="none" w:color="FFFFFF" w:sz="0"/>
          <w:right w:val="none" w:color="FFFFFF" w:sz="0"/>
        </w:pBdr>
        <w:spacing w:after="80" w:before="360"/>
      </w:pPr>
      <w:r>
        <w:rPr>
          <w:rFonts w:ascii="Consolas" w:cs="Consolas" w:eastAsia="Consolas" w:hAnsi="Consolas"/>
          <w:b/>
          <w:bCs/>
          <w:color w:val="2563EB"/>
          <w:spacing w:val="60"/>
          <w:sz w:val="18"/>
          <w:szCs w:val="18"/>
        </w:rPr>
        <w:t xml:space="preserve">SLIDE 04</w:t>
      </w:r>
      <w:r>
        <w:rPr>
          <w:color w:val="CCCCCC"/>
          <w:sz w:val="18"/>
          <w:szCs w:val="18"/>
        </w:rPr>
        <w:t xml:space="preserve">   |   </w:t>
      </w:r>
      <w:r>
        <w:rPr>
          <w:rFonts w:ascii="Calibri" w:cs="Calibri" w:eastAsia="Calibri" w:hAnsi="Calibri"/>
          <w:b/>
          <w:bCs/>
          <w:color w:val="0C1426"/>
          <w:sz w:val="22"/>
          <w:szCs w:val="22"/>
        </w:rPr>
        <w:t xml:space="preserve">The AB-100 Exam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Slide type: Exam at a glance card  ·  No step reveals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563EB"/>
          <w:spacing w:val="80"/>
          <w:sz w:val="16"/>
          <w:szCs w:val="16"/>
        </w:rPr>
        <w:t xml:space="preserve">OPENING NOTES (slide loads)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AB-100 exam itself. Microsoft's published details. Expert-level certification for solution architects designing agentic AI systems. Multiple-choice with interactive components. One hundred minutes. Seven hundred out of one thousand to pass.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Forty to sixty questions. Cost is one hundred sixty-five US dollars, region-priced. Online proctored or in-person test center. Plus thirty additional minutes for non-English speakers.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Critically — this is an Expert-level exam with prerequisites. To earn the certification you must hold an active Associate-level Microsoft certification. There are nine eligible Associate certifications including AB-730, AB-731, MB-280, PL-200, and several Dynamics 365 functional consultant credentials. The exam alone doesn't grant the credential — you need both the prerequisite Associate cert and the AB-100 pass.</w:t>
      </w:r>
    </w:p>
    <w:p>
      <w:pPr>
        <w:pBdr>
          <w:top w:val="none" w:color="FFFFFF" w:sz="0"/>
          <w:bottom w:val="single" w:color="2563EB" w:sz="12" w:space="4"/>
          <w:left w:val="none" w:color="FFFFFF" w:sz="0"/>
          <w:right w:val="none" w:color="FFFFFF" w:sz="0"/>
        </w:pBdr>
        <w:spacing w:after="80" w:before="360"/>
      </w:pPr>
      <w:r>
        <w:rPr>
          <w:rFonts w:ascii="Consolas" w:cs="Consolas" w:eastAsia="Consolas" w:hAnsi="Consolas"/>
          <w:b/>
          <w:bCs/>
          <w:color w:val="2563EB"/>
          <w:spacing w:val="60"/>
          <w:sz w:val="18"/>
          <w:szCs w:val="18"/>
        </w:rPr>
        <w:t xml:space="preserve">SLIDE 05</w:t>
      </w:r>
      <w:r>
        <w:rPr>
          <w:color w:val="CCCCCC"/>
          <w:sz w:val="18"/>
          <w:szCs w:val="18"/>
        </w:rPr>
        <w:t xml:space="preserve">   |   </w:t>
      </w:r>
      <w:r>
        <w:rPr>
          <w:rFonts w:ascii="Calibri" w:cs="Calibri" w:eastAsia="Calibri" w:hAnsi="Calibri"/>
          <w:b/>
          <w:bCs/>
          <w:color w:val="0C1426"/>
          <w:sz w:val="22"/>
          <w:szCs w:val="22"/>
        </w:rPr>
        <w:t xml:space="preserve">Section Divider — Three Skill Areas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Slide type: Section divider  ·  No step reveals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563EB"/>
          <w:spacing w:val="80"/>
          <w:sz w:val="16"/>
          <w:szCs w:val="16"/>
        </w:rPr>
        <w:t xml:space="preserve">OPENING NOTES (slide loads)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exam has three skill areas with specific weightages. Plan, Design, and Deploy.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Deploy is the heaviest — forty to forty-five percent of the exam. The chapters in this course map directly to these three areas. Knowing the weightages helps prioritize study time.</w:t>
      </w:r>
    </w:p>
    <w:p>
      <w:pPr>
        <w:pBdr>
          <w:top w:val="none" w:color="FFFFFF" w:sz="0"/>
          <w:bottom w:val="single" w:color="2563EB" w:sz="12" w:space="4"/>
          <w:left w:val="none" w:color="FFFFFF" w:sz="0"/>
          <w:right w:val="none" w:color="FFFFFF" w:sz="0"/>
        </w:pBdr>
        <w:spacing w:after="80" w:before="360"/>
      </w:pPr>
      <w:r>
        <w:rPr>
          <w:rFonts w:ascii="Consolas" w:cs="Consolas" w:eastAsia="Consolas" w:hAnsi="Consolas"/>
          <w:b/>
          <w:bCs/>
          <w:color w:val="2563EB"/>
          <w:spacing w:val="60"/>
          <w:sz w:val="18"/>
          <w:szCs w:val="18"/>
        </w:rPr>
        <w:t xml:space="preserve">SLIDE 06</w:t>
      </w:r>
      <w:r>
        <w:rPr>
          <w:color w:val="CCCCCC"/>
          <w:sz w:val="18"/>
          <w:szCs w:val="18"/>
        </w:rPr>
        <w:t xml:space="preserve">   |   </w:t>
      </w:r>
      <w:r>
        <w:rPr>
          <w:rFonts w:ascii="Calibri" w:cs="Calibri" w:eastAsia="Calibri" w:hAnsi="Calibri"/>
          <w:b/>
          <w:bCs/>
          <w:color w:val="0C1426"/>
          <w:sz w:val="22"/>
          <w:szCs w:val="22"/>
        </w:rPr>
        <w:t xml:space="preserve">Three Skill Areas with Weightages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Slide type: 3 skill area cards with bars  ·  3 steps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563EB"/>
          <w:spacing w:val="80"/>
          <w:sz w:val="16"/>
          <w:szCs w:val="16"/>
        </w:rPr>
        <w:t xml:space="preserve">OPENING NOTES (slide loads)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Three skill areas with weightages. Plan, Design, Deploy. Each card shows the percentage and the chapters that cover it. Deploy is the largest section — four chapters, forty to forty-five percent of the exam. I'll reveal each.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1/3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Area 1 — Plan (25-30%)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Area 1. Plan AI-powered business solutions. Twenty-five to thirty percent. Three chapters. Analyze requirements. Design overall AI strategy. Evaluate costs and benefits. The before-you-build-anything phase.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2/3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Area 2 — Design (25-30%)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Area 2. Design AI-powered business solutions. Twenty-five to thirty percent. Three chapters. Design AI and agents. Design extensibility. Orchestrate prebuilt agents. The component design phase.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3/3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Area 3 — Deploy (40-45%)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Area 3. Deploy AI-powered business solutions. Forty to forty-five percent — nearly half the exam. Four chapters. Monitor and tune. Manage testing. ALM. Responsible AI and governance. The hardest section, with the most chapters. Production reality.</w:t>
      </w:r>
    </w:p>
    <w:p>
      <w:pPr>
        <w:pBdr>
          <w:top w:val="none" w:color="FFFFFF" w:sz="0"/>
          <w:bottom w:val="single" w:color="2563EB" w:sz="12" w:space="4"/>
          <w:left w:val="none" w:color="FFFFFF" w:sz="0"/>
          <w:right w:val="none" w:color="FFFFFF" w:sz="0"/>
        </w:pBdr>
        <w:spacing w:after="80" w:before="360"/>
      </w:pPr>
      <w:r>
        <w:rPr>
          <w:rFonts w:ascii="Consolas" w:cs="Consolas" w:eastAsia="Consolas" w:hAnsi="Consolas"/>
          <w:b/>
          <w:bCs/>
          <w:color w:val="2563EB"/>
          <w:spacing w:val="60"/>
          <w:sz w:val="18"/>
          <w:szCs w:val="18"/>
        </w:rPr>
        <w:t xml:space="preserve">SLIDE 07</w:t>
      </w:r>
      <w:r>
        <w:rPr>
          <w:color w:val="CCCCCC"/>
          <w:sz w:val="18"/>
          <w:szCs w:val="18"/>
        </w:rPr>
        <w:t xml:space="preserve">   |   </w:t>
      </w:r>
      <w:r>
        <w:rPr>
          <w:rFonts w:ascii="Calibri" w:cs="Calibri" w:eastAsia="Calibri" w:hAnsi="Calibri"/>
          <w:b/>
          <w:bCs/>
          <w:color w:val="0C1426"/>
          <w:sz w:val="22"/>
          <w:szCs w:val="22"/>
        </w:rPr>
        <w:t xml:space="preserve">Plan Area — Chapter Detail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Slide type: Plan area chapter detail  ·  3 steps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563EB"/>
          <w:spacing w:val="80"/>
          <w:sz w:val="16"/>
          <w:szCs w:val="16"/>
        </w:rPr>
        <w:t xml:space="preserve">OPENING NOTES (slide loads)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Plan area in detail. Three chapters. Two through four. The before-you-build phase — what does the business need, what's the strategy, what's the ROI. I'll bring up each chapter.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1/3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Chapter 2 — Analyze Requirements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Chapter 2. Analyze requirements for AI-powered business solutions. Agents in task automation, data analytics, decision-making. Data grounding — accuracy, relevance, timeliness, cleanliness, availability. Organizing business data for AI consumption. Scenario is BrightCorp HR — eight thousand employees in fourteen countries.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2/3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Chapter 3 — Design AI Strategy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Chapter 3. Design overall AI strategy for business solutions. One of the two largest chapters in the course. Cloud Adoption Framework for AI. Multi-agent solutions. SaaS-first decision tree. Prebuilt agents. Knowledge sources. Solution constraints. Scenario is NorthStar RFP — fifty RFPs per week, multi-agent solution.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3/3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Chapter 4 — Evaluate Costs &amp; Benefits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Chapter 4. Evaluate the costs and benefits of an AI-powered business solution. ROI analysis. Total cost of ownership. Build versus buy versus extend decisions. Model router for cost optimization. Scenario is InsureCo Claims Triage — eighty thousand claims per year.</w:t>
      </w:r>
    </w:p>
    <w:p>
      <w:pPr>
        <w:pBdr>
          <w:top w:val="none" w:color="FFFFFF" w:sz="0"/>
          <w:bottom w:val="single" w:color="2563EB" w:sz="12" w:space="4"/>
          <w:left w:val="none" w:color="FFFFFF" w:sz="0"/>
          <w:right w:val="none" w:color="FFFFFF" w:sz="0"/>
        </w:pBdr>
        <w:spacing w:after="80" w:before="360"/>
      </w:pPr>
      <w:r>
        <w:rPr>
          <w:rFonts w:ascii="Consolas" w:cs="Consolas" w:eastAsia="Consolas" w:hAnsi="Consolas"/>
          <w:b/>
          <w:bCs/>
          <w:color w:val="2563EB"/>
          <w:spacing w:val="60"/>
          <w:sz w:val="18"/>
          <w:szCs w:val="18"/>
        </w:rPr>
        <w:t xml:space="preserve">SLIDE 08</w:t>
      </w:r>
      <w:r>
        <w:rPr>
          <w:color w:val="CCCCCC"/>
          <w:sz w:val="18"/>
          <w:szCs w:val="18"/>
        </w:rPr>
        <w:t xml:space="preserve">   |   </w:t>
      </w:r>
      <w:r>
        <w:rPr>
          <w:rFonts w:ascii="Calibri" w:cs="Calibri" w:eastAsia="Calibri" w:hAnsi="Calibri"/>
          <w:b/>
          <w:bCs/>
          <w:color w:val="0C1426"/>
          <w:sz w:val="22"/>
          <w:szCs w:val="22"/>
        </w:rPr>
        <w:t xml:space="preserve">Design Area — Chapter Detail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Slide type: Design area chapter detail  ·  3 steps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563EB"/>
          <w:spacing w:val="80"/>
          <w:sz w:val="16"/>
          <w:szCs w:val="16"/>
        </w:rPr>
        <w:t xml:space="preserve">OPENING NOTES (slide loads)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Design area in detail. Three chapters. Five through seven. The component design phase — what to build with which Microsoft tool. Chapter 5 is the second of the two largest chapters.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1/3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Chapter 5 — Design AI &amp; Agents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Chapter 5. Design AI and agents for business solutions. The largest chapter. Six Responsible AI tenets. Three agent types — task, autonomous, prompt-response. Copilot Studio mechanisms — NLU, CLU, generative paths. D365 customizations. Foundry tool categories. Power Platform Well-Architected Framework. Scenario is FieldCore HVAC — six hundred technicians.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2/3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Chapter 6 — Design Extensibility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Chapter 6. Design extensibility of AI solutions. When to use custom Foundry models. M365 Copilot agent design. MCP — Model Context Protocol. Computer Use. Reasoning and voice modes. Teams and SharePoint optimization. Scenario is ContractFlow law firm — two hundred attorneys.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3/3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Chapter 7 — Orchestrate Prebuilt Agents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Chapter 7. Orchestrate configuration for prebuilt agents and apps. D365 Copilot patterns. Customer Service AI Agent Hub. M365 prebuilt agents catalog. Sales and Service configuration. Power Platform AI hub. F&amp;O knowledge sources. Scenario is Northwind Manufacturing — four thousand employees.</w:t>
      </w:r>
    </w:p>
    <w:p>
      <w:pPr>
        <w:pBdr>
          <w:top w:val="none" w:color="FFFFFF" w:sz="0"/>
          <w:bottom w:val="single" w:color="2563EB" w:sz="12" w:space="4"/>
          <w:left w:val="none" w:color="FFFFFF" w:sz="0"/>
          <w:right w:val="none" w:color="FFFFFF" w:sz="0"/>
        </w:pBdr>
        <w:spacing w:after="80" w:before="360"/>
      </w:pPr>
      <w:r>
        <w:rPr>
          <w:rFonts w:ascii="Consolas" w:cs="Consolas" w:eastAsia="Consolas" w:hAnsi="Consolas"/>
          <w:b/>
          <w:bCs/>
          <w:color w:val="2563EB"/>
          <w:spacing w:val="60"/>
          <w:sz w:val="18"/>
          <w:szCs w:val="18"/>
        </w:rPr>
        <w:t xml:space="preserve">SLIDE 09</w:t>
      </w:r>
      <w:r>
        <w:rPr>
          <w:color w:val="CCCCCC"/>
          <w:sz w:val="18"/>
          <w:szCs w:val="18"/>
        </w:rPr>
        <w:t xml:space="preserve">   |   </w:t>
      </w:r>
      <w:r>
        <w:rPr>
          <w:rFonts w:ascii="Calibri" w:cs="Calibri" w:eastAsia="Calibri" w:hAnsi="Calibri"/>
          <w:b/>
          <w:bCs/>
          <w:color w:val="0C1426"/>
          <w:sz w:val="22"/>
          <w:szCs w:val="22"/>
        </w:rPr>
        <w:t xml:space="preserve">Deploy Area — Chapter Detail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Slide type: Deploy area chapter detail  ·  4 steps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563EB"/>
          <w:spacing w:val="80"/>
          <w:sz w:val="16"/>
          <w:szCs w:val="16"/>
        </w:rPr>
        <w:t xml:space="preserve">OPENING NOTES (slide loads)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Deploy area in detail. Four chapters. Eight through eleven. Forty to forty-five percent of the exam — the largest section. Where most enterprise AI projects fail in production. I'll bring up each chapter.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1/4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Chapter 8 — Monitor &amp; Tune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Chapter 8. Analyze, monitor, and tune AI-powered business solutions. Five monitoring dimensions. Backlog and feedback handling. Six-step diagnostic workflow. Performance metrics including the gold-standard task completion rate. Telemetry interpretation. Scenario is MegaRetail Sales Helper — canonical telemetry blind spot pattern.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2/4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Chapter 9 — Manage Testing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Chapter 9. Manage the testing of AI-powered business solutions. Four testing types. Three metric categories. Custom model validation thresholds. Prompt validation lifecycle. End-to-end test scenarios. Copilot for test case generation. Scenario is Acme Healthcare Discharge Summary — HIPAA-regulated, stricter validation thresholds.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3/4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Chapter 10 — ALM Process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Chapter 10. Design the ALM process for AI-powered business solutions. Application Lifecycle Management for AI. Six artifact categories. Four-tier environment strategy. Seven-phase data lifecycle. Promotion gate matrices. Component-specific ALM for Copilot Studio, Foundry, custom models, D365. Scenario is GlobalBank multi-component — fifty thousand employees, three regions.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4/4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Chapter 11 — RAI · Security · Governance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Chapter 11. Design responsible AI, security, governance, risk management, and compliance. The course finale. Six RAI principles. Four-layer defense in depth. Five AI vulnerability categories. Compliance domains — residency, Purview, audit trails. Operating model with RACI and incident response. Scenario is PharmaCorp capstone — seventy-five thousand employees, FDA plus EMA plus HIPAA plus GDPR. Capstone integrates all eleven chapters.</w:t>
      </w:r>
    </w:p>
    <w:p>
      <w:pPr>
        <w:pBdr>
          <w:top w:val="none" w:color="FFFFFF" w:sz="0"/>
          <w:bottom w:val="single" w:color="2563EB" w:sz="12" w:space="4"/>
          <w:left w:val="none" w:color="FFFFFF" w:sz="0"/>
          <w:right w:val="none" w:color="FFFFFF" w:sz="0"/>
        </w:pBdr>
        <w:spacing w:after="80" w:before="360"/>
      </w:pPr>
      <w:r>
        <w:rPr>
          <w:rFonts w:ascii="Consolas" w:cs="Consolas" w:eastAsia="Consolas" w:hAnsi="Consolas"/>
          <w:b/>
          <w:bCs/>
          <w:color w:val="2563EB"/>
          <w:spacing w:val="60"/>
          <w:sz w:val="18"/>
          <w:szCs w:val="18"/>
        </w:rPr>
        <w:t xml:space="preserve">SLIDE 10</w:t>
      </w:r>
      <w:r>
        <w:rPr>
          <w:color w:val="CCCCCC"/>
          <w:sz w:val="18"/>
          <w:szCs w:val="18"/>
        </w:rPr>
        <w:t xml:space="preserve">   |   </w:t>
      </w:r>
      <w:r>
        <w:rPr>
          <w:rFonts w:ascii="Calibri" w:cs="Calibri" w:eastAsia="Calibri" w:hAnsi="Calibri"/>
          <w:b/>
          <w:bCs/>
          <w:color w:val="0C1426"/>
          <w:sz w:val="22"/>
          <w:szCs w:val="22"/>
        </w:rPr>
        <w:t xml:space="preserve">Complete Chapter Map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Slide type: 12-row chapter map table  ·  No step reveals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563EB"/>
          <w:spacing w:val="80"/>
          <w:sz w:val="16"/>
          <w:szCs w:val="16"/>
        </w:rPr>
        <w:t xml:space="preserve">OPENING NOTES (slide loads)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complete chapter map. All twelve chapters from intro through course finale, mapped to the three exam areas. Print this and tape it to the wall — it's your reference for the entire course.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Chapter 0 is this introduction. Chapter 1 is the foundation — architect role, framework, Microsoft stack. Chapters 2 through 4 are the Plan area. Chapters 5 through 7 are the Design area. Chapters 8 through 11 are the Deploy area — the largest section.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Slide counts vary — Chapter 1 has 18 slides, Chapter 3 has 25 slides as the largest, Chapter 5 has 25 slides also large. Most chapters are 21 to 23 slides. Total course is approximately 256 slides across all chapters including this introduction.</w:t>
      </w:r>
    </w:p>
    <w:p>
      <w:pPr>
        <w:pBdr>
          <w:top w:val="none" w:color="FFFFFF" w:sz="0"/>
          <w:bottom w:val="single" w:color="2563EB" w:sz="12" w:space="4"/>
          <w:left w:val="none" w:color="FFFFFF" w:sz="0"/>
          <w:right w:val="none" w:color="FFFFFF" w:sz="0"/>
        </w:pBdr>
        <w:spacing w:after="80" w:before="360"/>
      </w:pPr>
      <w:r>
        <w:rPr>
          <w:rFonts w:ascii="Consolas" w:cs="Consolas" w:eastAsia="Consolas" w:hAnsi="Consolas"/>
          <w:b/>
          <w:bCs/>
          <w:color w:val="2563EB"/>
          <w:spacing w:val="60"/>
          <w:sz w:val="18"/>
          <w:szCs w:val="18"/>
        </w:rPr>
        <w:t xml:space="preserve">SLIDE 11</w:t>
      </w:r>
      <w:r>
        <w:rPr>
          <w:color w:val="CCCCCC"/>
          <w:sz w:val="18"/>
          <w:szCs w:val="18"/>
        </w:rPr>
        <w:t xml:space="preserve">   |   </w:t>
      </w:r>
      <w:r>
        <w:rPr>
          <w:rFonts w:ascii="Calibri" w:cs="Calibri" w:eastAsia="Calibri" w:hAnsi="Calibri"/>
          <w:b/>
          <w:bCs/>
          <w:color w:val="0C1426"/>
          <w:sz w:val="22"/>
          <w:szCs w:val="22"/>
        </w:rPr>
        <w:t xml:space="preserve">Outcomes — What You'll Be Able to Do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Slide type: 6 outcome cards  ·  6 steps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563EB"/>
          <w:spacing w:val="80"/>
          <w:sz w:val="16"/>
          <w:szCs w:val="16"/>
        </w:rPr>
        <w:t xml:space="preserve">OPENING NOTES (slide loads)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What you'll be able to do by the end. Six concrete outcomes. Not just exam-ready — production-ready architects. I'll bring them up one at a time.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1/6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Outcome 1 — Translate business to AI architecture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One. Translate business to AI architecture. Take a business problem, identify whether AI is the right solution, design the right components, defend the choice. The bridge translation skill from Chapter 1.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2/6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Outcome 2 — Make platform choices with confidence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Two. Make platform choices with confidence. M365 Copilot vs Copilot Studio vs Microsoft Foundry vs custom build. SaaS-first vs build-first. Architects who can't make this call ship the wrong solution.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3/6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Outcome 3 — Design multi-agent solutions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Three. Design multi-agent solutions. Five orchestration patterns. When sequential, when concurrent, when group chat, when handoff, when magentic. Multi-agent is the future and the exam emphasizes it heavily.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4/6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Outcome 4 — Build defensible ROI cases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Four. Produce ROI cases that convince CFOs. Six-step framework. TCO breakdown. Build/buy/extend with weighted scoring. Walk into a CFO meeting with defensible numbers, not vibes.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5/6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Outcome 5 — Design ALM &amp; testing for AI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Five. Design ALM and testing for AI. Why AI ALM is different from traditional ALM. Seven-phase lifecycle. Promotion gate matrices. Testing strategies for non-deterministic systems.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6/6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Outcome 6 — Govern, secure, comply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Six. Govern, secure, and comply. Six RAI principles. Four-layer defense in depth. Vulnerability mitigation. Multi-region compliance. The architect's accountability layer — where the role becomes genuinely accountable.</w:t>
      </w:r>
    </w:p>
    <w:p>
      <w:pPr>
        <w:pBdr>
          <w:top w:val="none" w:color="FFFFFF" w:sz="0"/>
          <w:bottom w:val="single" w:color="2563EB" w:sz="12" w:space="4"/>
          <w:left w:val="none" w:color="FFFFFF" w:sz="0"/>
          <w:right w:val="none" w:color="FFFFFF" w:sz="0"/>
        </w:pBdr>
        <w:spacing w:after="80" w:before="360"/>
      </w:pPr>
      <w:r>
        <w:rPr>
          <w:rFonts w:ascii="Consolas" w:cs="Consolas" w:eastAsia="Consolas" w:hAnsi="Consolas"/>
          <w:b/>
          <w:bCs/>
          <w:color w:val="2563EB"/>
          <w:spacing w:val="60"/>
          <w:sz w:val="18"/>
          <w:szCs w:val="18"/>
        </w:rPr>
        <w:t xml:space="preserve">SLIDE 12</w:t>
      </w:r>
      <w:r>
        <w:rPr>
          <w:color w:val="CCCCCC"/>
          <w:sz w:val="18"/>
          <w:szCs w:val="18"/>
        </w:rPr>
        <w:t xml:space="preserve">   |   </w:t>
      </w:r>
      <w:r>
        <w:rPr>
          <w:rFonts w:ascii="Calibri" w:cs="Calibri" w:eastAsia="Calibri" w:hAnsi="Calibri"/>
          <w:b/>
          <w:bCs/>
          <w:color w:val="0C1426"/>
          <w:sz w:val="22"/>
          <w:szCs w:val="22"/>
        </w:rPr>
        <w:t xml:space="preserve">Prerequisites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Slide type: Prerequisite knowledge box  ·  No step reveals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563EB"/>
          <w:spacing w:val="80"/>
          <w:sz w:val="16"/>
          <w:szCs w:val="16"/>
        </w:rPr>
        <w:t xml:space="preserve">OPENING NOTES (slide loads)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What you should already know coming into this course. This is an advanced course — Microsoft's prep guide is explicit about that. If any of these gaps are wide, flag it now and we'll find resources to bridge.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Microsoft platforms — Power Platform fundamentals. Dynamics 365 product family. Microsoft 365 Copilot capabilities. Azure cloud concepts including Entra ID, RBAC, networking. Microsoft Foundry awareness.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Architecture and AI concepts — solution architecture fundamentals. Cloud Adoption Framework familiarity. Generative AI basics including LLMs, prompting, RAG. Application lifecycle management concepts. Data governance, DLP, sensitivity labels.</w:t>
      </w:r>
    </w:p>
    <w:p>
      <w:pPr>
        <w:pBdr>
          <w:top w:val="single" w:color="F59E0B" w:sz="4"/>
          <w:bottom w:val="single" w:color="F59E0B" w:sz="4"/>
          <w:left w:val="single" w:color="F59E0B" w:sz="4"/>
          <w:right w:val="single" w:color="F59E0B" w:sz="4"/>
        </w:pBdr>
        <w:shd w:fill="FEF3C7" w:val="clear"/>
        <w:spacing w:after="120" w:before="8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Important note: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To earn the AB-100 credential, learners also need an active Associate-level Microsoft AI or Dynamics 365 certification. AB-730, AB-731, MB-280, PL-200, or one of nine eligible Associate certifications. The exam alone doesn't grant the credential. Confirm with the room — if anyone is missing the prerequisite, this is the time to discuss next steps.</w:t>
      </w:r>
    </w:p>
    <w:p>
      <w:pPr>
        <w:pBdr>
          <w:top w:val="none" w:color="FFFFFF" w:sz="0"/>
          <w:bottom w:val="single" w:color="2563EB" w:sz="12" w:space="4"/>
          <w:left w:val="none" w:color="FFFFFF" w:sz="0"/>
          <w:right w:val="none" w:color="FFFFFF" w:sz="0"/>
        </w:pBdr>
        <w:spacing w:after="80" w:before="360"/>
      </w:pPr>
      <w:r>
        <w:rPr>
          <w:rFonts w:ascii="Consolas" w:cs="Consolas" w:eastAsia="Consolas" w:hAnsi="Consolas"/>
          <w:b/>
          <w:bCs/>
          <w:color w:val="2563EB"/>
          <w:spacing w:val="60"/>
          <w:sz w:val="18"/>
          <w:szCs w:val="18"/>
        </w:rPr>
        <w:t xml:space="preserve">SLIDE 13</w:t>
      </w:r>
      <w:r>
        <w:rPr>
          <w:color w:val="CCCCCC"/>
          <w:sz w:val="18"/>
          <w:szCs w:val="18"/>
        </w:rPr>
        <w:t xml:space="preserve">   |   </w:t>
      </w:r>
      <w:r>
        <w:rPr>
          <w:rFonts w:ascii="Calibri" w:cs="Calibri" w:eastAsia="Calibri" w:hAnsi="Calibri"/>
          <w:b/>
          <w:bCs/>
          <w:color w:val="0C1426"/>
          <w:sz w:val="22"/>
          <w:szCs w:val="22"/>
        </w:rPr>
        <w:t xml:space="preserve">How Each Chapter Works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Slide type: 4-step format + features strip  ·  4 steps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563EB"/>
          <w:spacing w:val="80"/>
          <w:sz w:val="16"/>
          <w:szCs w:val="16"/>
        </w:rPr>
        <w:t xml:space="preserve">OPENING NOTES (slide loads)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How each chapter works. Same four-step pattern across all eleven chapters. Predictable rhythm — once you know the pattern, you can focus on the content. I'll bring them up.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1/4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Step 1 — Concept reveal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Step 1. Concept reveal. Each chapter has three to five themed units. Each unit introduces concepts step-by-step on screen. Press right arrow to advance reveals.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2/4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Step 2 — Knowledge check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Step 2. Knowledge check. Approximately one quiz per unit. Click any answer — all options reveal correct or wrong. Explanation panel shows the reasoning. These are scenario-based, pattern-matched to AB-100.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3/4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Step 3 — Enterprise scenario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Step 3. Enterprise scenario. Each chapter ends with a real architecture scenario. Pairs discuss for ten to fifteen minutes. Reveal Discussion Points button shows architect-grade answers — use this to validate or extend the discussion.</w:t>
      </w:r>
    </w:p>
    <w:p>
      <w:pPr>
        <w:pBdr>
          <w:top w:val="none" w:color="FFFFFF" w:sz="0"/>
          <w:bottom w:val="none" w:color="FFFFFF" w:sz="0"/>
          <w:left w:val="single" w:color="B45309" w:sz="12" w:space="8"/>
          <w:right w:val="none" w:color="FFFFFF" w:sz="0"/>
        </w:pBdr>
        <w:shd w:fill="FEF3C7" w:val="clear"/>
        <w:spacing w:after="40" w:before="200"/>
      </w:pPr>
      <w:r>
        <w:rPr>
          <w:rFonts w:ascii="Consolas" w:cs="Consolas" w:eastAsia="Consolas" w:hAnsi="Consolas"/>
          <w:b/>
          <w:bCs/>
          <w:color w:val="B45309"/>
          <w:spacing w:val="80"/>
          <w:sz w:val="14"/>
          <w:szCs w:val="14"/>
        </w:rPr>
        <w:t xml:space="preserve">STEP 4/4</w:t>
      </w:r>
      <w:r>
        <w:rPr>
          <w:color w:val="AAAAAA"/>
          <w:sz w:val="14"/>
          <w:szCs w:val="14"/>
        </w:rPr>
        <w:t xml:space="preserve">   ·   </w:t>
      </w:r>
      <w:r>
        <w:rPr>
          <w:rFonts w:ascii="Calibri" w:cs="Calibri" w:eastAsia="Calibri" w:hAnsi="Calibri"/>
          <w:b/>
          <w:bCs/>
          <w:color w:val="0C1426"/>
          <w:sz w:val="16"/>
          <w:szCs w:val="16"/>
        </w:rPr>
        <w:t xml:space="preserve">Step 4 — Recap &amp; transition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Step 4. Recap. Six takeaways per chapter. Pointer to the next chapter. Notes panel available throughout — press T to toggle for guidance. The Notes panel is your script — read aloud or paraphrase as you prefer.</w:t>
      </w:r>
    </w:p>
    <w:p>
      <w:pPr>
        <w:pBdr>
          <w:top w:val="none" w:color="FFFFFF" w:sz="0"/>
          <w:bottom w:val="single" w:color="2563EB" w:sz="12" w:space="4"/>
          <w:left w:val="none" w:color="FFFFFF" w:sz="0"/>
          <w:right w:val="none" w:color="FFFFFF" w:sz="0"/>
        </w:pBdr>
        <w:spacing w:after="80" w:before="360"/>
      </w:pPr>
      <w:r>
        <w:rPr>
          <w:rFonts w:ascii="Consolas" w:cs="Consolas" w:eastAsia="Consolas" w:hAnsi="Consolas"/>
          <w:b/>
          <w:bCs/>
          <w:color w:val="2563EB"/>
          <w:spacing w:val="60"/>
          <w:sz w:val="18"/>
          <w:szCs w:val="18"/>
        </w:rPr>
        <w:t xml:space="preserve">SLIDE 14</w:t>
      </w:r>
      <w:r>
        <w:rPr>
          <w:color w:val="CCCCCC"/>
          <w:sz w:val="18"/>
          <w:szCs w:val="18"/>
        </w:rPr>
        <w:t xml:space="preserve">   |   </w:t>
      </w:r>
      <w:r>
        <w:rPr>
          <w:rFonts w:ascii="Calibri" w:cs="Calibri" w:eastAsia="Calibri" w:hAnsi="Calibri"/>
          <w:b/>
          <w:bCs/>
          <w:color w:val="0C1426"/>
          <w:sz w:val="22"/>
          <w:szCs w:val="22"/>
        </w:rPr>
        <w:t xml:space="preserve">Ready to Begin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Slide type: Course start CTA  ·  No step reveals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563EB"/>
          <w:spacing w:val="80"/>
          <w:sz w:val="16"/>
          <w:szCs w:val="16"/>
        </w:rPr>
        <w:t xml:space="preserve">OPENING NOTES (slide loads)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That's the introduction. You know what's coming. You know how to navigate. You know what's on the exam. Let's begin Chapter 1 — Introduction to Agentic AI Business Solution Architecture.</w:t>
      </w:r>
    </w:p>
    <w:p>
      <w:pPr>
        <w:pBdr>
          <w:top w:val="none" w:color="FFFFFF" w:sz="0"/>
          <w:bottom w:val="none" w:color="FFFFFF" w:sz="0"/>
          <w:left w:val="single" w:color="2563EB" w:sz="16" w:space="16"/>
          <w:right w:val="none" w:color="FFFFFF" w:sz="0"/>
        </w:pBdr>
        <w:spacing w:after="100" w:before="60" w:line="320"/>
        <w:ind w:left="2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Chapter 1 covers the architect role itself. The five-phase framework you'll use throughout the course. The Microsoft stack ecosystem. The OOB agents decision flow. Plus the Acme Manufacturing scenario to anchor everything.</w:t>
      </w:r>
    </w:p>
    <w:p>
      <w:pPr>
        <w:pBdr>
          <w:top w:val="single" w:color="F59E0B" w:sz="4"/>
          <w:bottom w:val="single" w:color="F59E0B" w:sz="4"/>
          <w:left w:val="single" w:color="F59E0B" w:sz="4"/>
          <w:right w:val="single" w:color="F59E0B" w:sz="4"/>
        </w:pBdr>
        <w:shd w:fill="FEF3C7" w:val="clear"/>
        <w:spacing w:after="120" w:before="8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Transition guide: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Take a break here if you've been going for more than 30 minutes. Then advance to Chapter 1. The intro chapter is intentionally calibrated for the start of Day 1 — set expectations, surface gaps, build momentum.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Gennoor Tech  ·  AB-100  ·  Chapter 00 Notes  ·  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AB-100 Chapter 00 Notes — Course Introduction</dc:title>
  <dc:creator>Gennoor Tech</dc:creator>
  <cp:lastModifiedBy>Un-named</cp:lastModifiedBy>
  <cp:revision>1</cp:revision>
  <dcterms:created xsi:type="dcterms:W3CDTF">2026-05-07T18:53:16.740Z</dcterms:created>
  <dcterms:modified xsi:type="dcterms:W3CDTF">2026-05-07T18:53:16.741Z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