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Calibri" w:cs="Calibri" w:eastAsia="Calibri" w:hAnsi="Calibri"/>
          <w:b/>
          <w:bCs/>
          <w:color w:val="0C1426"/>
          <w:spacing w:val="80"/>
          <w:sz w:val="40"/>
          <w:szCs w:val="40"/>
        </w:rPr>
        <w:t xml:space="preserve">Ge</w:t>
      </w:r>
      <w:r>
        <w:rPr>
          <w:rFonts w:ascii="Calibri" w:cs="Calibri" w:eastAsia="Calibri" w:hAnsi="Calibri"/>
          <w:b/>
          <w:bCs/>
          <w:color w:val="2563EB"/>
          <w:spacing w:val="80"/>
          <w:sz w:val="40"/>
          <w:szCs w:val="40"/>
        </w:rPr>
        <w:t xml:space="preserve">nn</w:t>
      </w:r>
      <w:r>
        <w:rPr>
          <w:rFonts w:ascii="Calibri" w:cs="Calibri" w:eastAsia="Calibri" w:hAnsi="Calibri"/>
          <w:b/>
          <w:bCs/>
          <w:color w:val="F59E0B"/>
          <w:spacing w:val="80"/>
          <w:sz w:val="40"/>
          <w:szCs w:val="40"/>
        </w:rPr>
        <w:t xml:space="preserve">oo</w:t>
      </w:r>
      <w:r>
        <w:rPr>
          <w:rFonts w:ascii="Calibri" w:cs="Calibri" w:eastAsia="Calibri" w:hAnsi="Calibri"/>
          <w:b/>
          <w:bCs/>
          <w:color w:val="0C1426"/>
          <w:spacing w:val="80"/>
          <w:sz w:val="40"/>
          <w:szCs w:val="40"/>
        </w:rPr>
        <w:t xml:space="preserve">r Tech</w:t>
      </w:r>
    </w:p>
    <w:p>
      <w:pPr>
        <w:spacing w:after="360"/>
        <w:jc w:val="center"/>
      </w:pPr>
      <w:r>
        <w:rPr>
          <w:rFonts w:ascii="Calibri" w:cs="Calibri" w:eastAsia="Calibri" w:hAnsi="Calibri"/>
          <w:b/>
          <w:bCs/>
          <w:color w:val="1D4ED8"/>
          <w:sz w:val="32"/>
          <w:szCs w:val="32"/>
        </w:rPr>
        <w:t xml:space="preserve">Architecting Agentic AI Business Solutions</w:t>
      </w:r>
    </w:p>
    <w:p>
      <w:pPr>
        <w:pBdr>
          <w:top w:val="none" w:color="FFFFFF" w:sz="0"/>
          <w:bottom w:val="single" w:color="2563EB" w:sz="12" w:space="6"/>
          <w:left w:val="none" w:color="FFFFFF" w:sz="0"/>
          <w:right w:val="none" w:color="FFFFFF" w:sz="0"/>
        </w:pBdr>
        <w:spacing w:after="600"/>
        <w:jc w:val="center"/>
      </w:pPr>
      <w:r>
        <w:rPr>
          <w:rFonts w:ascii="Consolas" w:cs="Consolas" w:eastAsia="Consolas" w:hAnsi="Consolas"/>
          <w:color w:val="475569"/>
          <w:spacing w:val="80"/>
          <w:sz w:val="22"/>
          <w:szCs w:val="22"/>
        </w:rPr>
        <w:t xml:space="preserve">CHAPTER 06  ·  NOTES</w:t>
      </w:r>
    </w:p>
    <w:p>
      <w:pPr>
        <w:spacing w:after="240"/>
        <w:jc w:val="center"/>
      </w:pPr>
      <w:r>
        <w:rPr>
          <w:rFonts w:ascii="Calibri" w:cs="Calibri" w:eastAsia="Calibri" w:hAnsi="Calibri"/>
          <w:i/>
          <w:iCs/>
          <w:color w:val="0F172A"/>
          <w:sz w:val="44"/>
          <w:szCs w:val="44"/>
        </w:rPr>
        <w:t xml:space="preserve">Design Extensibility</w:t>
      </w:r>
    </w:p>
    <w:p>
      <w:pPr>
        <w:spacing w:after="800"/>
        <w:jc w:val="center"/>
      </w:pPr>
      <w:r>
        <w:rPr>
          <w:rFonts w:ascii="Calibri" w:cs="Calibri" w:eastAsia="Calibri" w:hAnsi="Calibri"/>
          <w:i/>
          <w:iCs/>
          <w:color w:val="0F172A"/>
          <w:sz w:val="44"/>
          <w:szCs w:val="44"/>
        </w:rPr>
        <w:t xml:space="preserve">of AI Solutions</w:t>
      </w:r>
    </w:p>
    <w:p>
      <w:pPr>
        <w:spacing w:after="60"/>
        <w:jc w:val="center"/>
      </w:pPr>
      <w:r>
        <w:rPr>
          <w:rFonts w:ascii="Calibri" w:cs="Calibri" w:eastAsia="Calibri" w:hAnsi="Calibri"/>
          <w:b/>
          <w:bCs/>
          <w:color w:val="0F172A"/>
          <w:sz w:val="22"/>
          <w:szCs w:val="22"/>
        </w:rPr>
        <w:t xml:space="preserve">How to use these notes:</w:t>
      </w:r>
    </w:p>
    <w:p>
      <w:pPr>
        <w:spacing w:after="80" w:before="120"/>
        <w:jc w:val="center"/>
      </w:pPr>
      <w:r>
        <w:rPr>
          <w:rFonts w:ascii="Calibri" w:cs="Calibri" w:eastAsia="Calibri" w:hAnsi="Calibri"/>
          <w:color w:val="0F172A"/>
          <w:sz w:val="20"/>
          <w:szCs w:val="20"/>
        </w:rPr>
        <w:t xml:space="preserve">Each slide has an opening notes, then numbered steps that match the on-screen reveals.</w:t>
      </w:r>
    </w:p>
    <w:p>
      <w:pPr>
        <w:spacing w:after="80"/>
        <w:jc w:val="center"/>
      </w:pPr>
      <w:r>
        <w:rPr>
          <w:rFonts w:ascii="Calibri" w:cs="Calibri" w:eastAsia="Calibri" w:hAnsi="Calibri"/>
          <w:color w:val="0F172A"/>
          <w:sz w:val="20"/>
          <w:szCs w:val="20"/>
        </w:rPr>
        <w:t xml:space="preserve">Read the opening, then press → and read the next step's notes as each component appears.</w:t>
      </w:r>
    </w:p>
    <w:p>
      <w:pPr>
        <w:spacing w:after="80"/>
        <w:jc w:val="center"/>
      </w:pPr>
      <w:r>
        <w:rPr>
          <w:rFonts w:ascii="Calibri" w:cs="Calibri" w:eastAsia="Calibri" w:hAnsi="Calibri"/>
          <w:color w:val="0F172A"/>
          <w:sz w:val="20"/>
          <w:szCs w:val="20"/>
        </w:rPr>
        <w:t xml:space="preserve">The slide deck and these notes reveal in lockstep.</w:t>
      </w:r>
    </w:p>
    <w:p>
      <w:r>
        <w:br w:type="page"/>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01</w:t>
      </w:r>
      <w:r>
        <w:rPr>
          <w:color w:val="CCCCCC"/>
          <w:sz w:val="18"/>
          <w:szCs w:val="18"/>
        </w:rPr>
        <w:t xml:space="preserve">   |   </w:t>
      </w:r>
      <w:r>
        <w:rPr>
          <w:rFonts w:ascii="Calibri" w:cs="Calibri" w:eastAsia="Calibri" w:hAnsi="Calibri"/>
          <w:b/>
          <w:bCs/>
          <w:color w:val="1D4ED8"/>
          <w:sz w:val="22"/>
          <w:szCs w:val="22"/>
        </w:rPr>
        <w:t xml:space="preserve">Title Slide — Design Extensibility of AI Solutions</w:t>
      </w:r>
    </w:p>
    <w:p>
      <w:pPr>
        <w:spacing w:after="80" w:before="60"/>
      </w:pPr>
      <w:r>
        <w:rPr>
          <w:rFonts w:ascii="Calibri" w:cs="Calibri" w:eastAsia="Calibri" w:hAnsi="Calibri"/>
          <w:i/>
          <w:iCs/>
          <w:color w:val="475569"/>
          <w:sz w:val="18"/>
          <w:szCs w:val="18"/>
        </w:rPr>
        <w:t xml:space="preserve">Slide type: Chapter opener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Welcome to Chapter 6. Chapter 5 covered building agents on Microsoft platforms. This module is about going beyond the platform. When prebuilt isn't enough. When you need custom models in Foundry. When you need to extend Copilot Studio with code, with Model Context Protocol, or with Computer Use to drive UIs.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By the end of this chapter you'll know exactly where each extensibility option fits — and more importantly, where to NOT reach for a custom solution. The biggest mistake architects make is over-engineering. Most projects don't need a custom Foundry model. Most don't need pro-code Copilot Studio. The right answer is usually the simplest one that meets the need.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02</w:t>
      </w:r>
      <w:r>
        <w:rPr>
          <w:color w:val="CCCCCC"/>
          <w:sz w:val="18"/>
          <w:szCs w:val="18"/>
        </w:rPr>
        <w:t xml:space="preserve">   |   </w:t>
      </w:r>
      <w:r>
        <w:rPr>
          <w:rFonts w:ascii="Calibri" w:cs="Calibri" w:eastAsia="Calibri" w:hAnsi="Calibri"/>
          <w:b/>
          <w:bCs/>
          <w:color w:val="1D4ED8"/>
          <w:sz w:val="22"/>
          <w:szCs w:val="22"/>
        </w:rPr>
        <w:t xml:space="preserve">What this chapter covers</w:t>
      </w:r>
    </w:p>
    <w:p>
      <w:pPr>
        <w:spacing w:after="80" w:before="60"/>
      </w:pPr>
      <w:r>
        <w:rPr>
          <w:rFonts w:ascii="Calibri" w:cs="Calibri" w:eastAsia="Calibri" w:hAnsi="Calibri"/>
          <w:i/>
          <w:iCs/>
          <w:color w:val="475569"/>
          <w:sz w:val="18"/>
          <w:szCs w:val="18"/>
        </w:rPr>
        <w:t xml:space="preserve">Slide type: Chapter overview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themes. Each represents a different way to extend AI on the Microsoft stack. Pick the right one for the requirement. Over-engineering kills timelines.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Card 1 — Custom Foundry Models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 custom models in Foundry. The pro-code escape hatch. Use only when prebuilt models can't meet domain specificity, regulatory needs, or unique workflow requirements. Five indicators determine if this is justified.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Card 2 — M365 Copilot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Second — Microsoft 365 Copilot agents. Modular, instruction-driven, declarative. Live in Teams, Outlook, Loop, SharePoint. The most common extensibility scenario by far.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Card 3 — Studio Extensibility + MCP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Third — Copilot Studio extensibility plus Model Context Protocol. Four extensibility layers — instruction, skill, integration, pro-code. MCP standardizes business context retrieval, especially for Dynamics 365 Finance and Operations.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Card 4 — Advanced Capabilities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Fourth — advanced capabilities. Computer Use to drive UIs without APIs. Deep reasoning for multi-step decisions. Voice mode for hands-free workflows.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Card 5 — M365 Optimization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Fifth — Microsoft 365 optimization in Teams and SharePoint. Where most enterprise users will actually meet your agents. Permission-aware grounding via Microsoft Graph.</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03</w:t>
      </w:r>
      <w:r>
        <w:rPr>
          <w:color w:val="CCCCCC"/>
          <w:sz w:val="18"/>
          <w:szCs w:val="18"/>
        </w:rPr>
        <w:t xml:space="preserve">   |   </w:t>
      </w:r>
      <w:r>
        <w:rPr>
          <w:rFonts w:ascii="Calibri" w:cs="Calibri" w:eastAsia="Calibri" w:hAnsi="Calibri"/>
          <w:b/>
          <w:bCs/>
          <w:color w:val="1D4ED8"/>
          <w:sz w:val="22"/>
          <w:szCs w:val="22"/>
        </w:rPr>
        <w:t xml:space="preserve">Section Divider — Unit 1: Custom Foundry Models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First unit. Custom models in Microsoft Foundry.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escape hatch when prebuilt copilots don't meet domain or compliance needs. Used sparingly. Foundry custom models are expensive to build, expensive to operate, and require pro-code expertise. Don't reach for this unless the indicators are strong.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04</w:t>
      </w:r>
      <w:r>
        <w:rPr>
          <w:color w:val="CCCCCC"/>
          <w:sz w:val="18"/>
          <w:szCs w:val="18"/>
        </w:rPr>
        <w:t xml:space="preserve">   |   </w:t>
      </w:r>
      <w:r>
        <w:rPr>
          <w:rFonts w:ascii="Calibri" w:cs="Calibri" w:eastAsia="Calibri" w:hAnsi="Calibri"/>
          <w:b/>
          <w:bCs/>
          <w:color w:val="1D4ED8"/>
          <w:sz w:val="22"/>
          <w:szCs w:val="22"/>
        </w:rPr>
        <w:t xml:space="preserve">When to Use a Custom Foundry Model</w:t>
      </w:r>
    </w:p>
    <w:p>
      <w:pPr>
        <w:spacing w:after="80" w:before="60"/>
      </w:pPr>
      <w:r>
        <w:rPr>
          <w:rFonts w:ascii="Calibri" w:cs="Calibri" w:eastAsia="Calibri" w:hAnsi="Calibri"/>
          <w:i/>
          <w:iCs/>
          <w:color w:val="475569"/>
          <w:sz w:val="18"/>
          <w:szCs w:val="18"/>
        </w:rPr>
        <w:t xml:space="preserve">Slide type: 5 indicator cards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When do you actually need a custom model? Five indicators. If two or more apply, custom Foundry is on the table. Less than two — extend Copilot or use a prebuilt model.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Indicator 1 — Domain Specificity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Indicator one. Domain specificity. Industries where general-purpose LLMs fail. Legal, healthcare, engineering, finance, manufacturing. Specialized terminology, specialized reasoning patterns. Prebuilt models stumble here. They don't know what an ASTM specification means or how to reason about a drug interaction.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Indicator 2 — High-Impact Decisions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Indicator two. High-impact decisions. Where accuracy directly affects compliance, financial outcomes, or operational safety. Wrong answers carry real consequences. Prebuilt models can't be trusted here without extensive validation. Loan approvals, drug interactions, structural calculations — domains where being wrong is unacceptable.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Indicator 3 — Data Sovereignty</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Indicator three. Data sovereignty. Mandates requiring full control over data processing, storage, evaluation, and monitoring. Government agencies. Regulated financial services. Healthcare in some regions. When you can't ship data outside your tenant, custom is the only path.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Indicator 4 — Unique Workflows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Indicator four. Unique workflows. When prebuilt copilots don't fit organizational processes. Workflows so specialized that customization layers can't bend the agent enough. Insurance underwriting decision logic. Multi-stage clinical protocols.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Indicator 5 — Cost at High Volume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Indicator five. Cost optimization at scale. High-volume inference where small specialized custom models are cheaper to run than general-purpose LLMs. Million-call-per-day scenarios. SLM economics over LLM economics. This connects directly to Chapter 4's model router 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05</w:t>
      </w:r>
      <w:r>
        <w:rPr>
          <w:color w:val="CCCCCC"/>
          <w:sz w:val="18"/>
          <w:szCs w:val="18"/>
        </w:rPr>
        <w:t xml:space="preserve">   |   </w:t>
      </w:r>
      <w:r>
        <w:rPr>
          <w:rFonts w:ascii="Calibri" w:cs="Calibri" w:eastAsia="Calibri" w:hAnsi="Calibri"/>
          <w:b/>
          <w:bCs/>
          <w:color w:val="1D4ED8"/>
          <w:sz w:val="22"/>
          <w:szCs w:val="22"/>
        </w:rPr>
        <w:t xml:space="preserve">Custom Model Design — 5 Steps</w:t>
      </w:r>
    </w:p>
    <w:p>
      <w:pPr>
        <w:spacing w:after="80" w:before="60"/>
      </w:pPr>
      <w:r>
        <w:rPr>
          <w:rFonts w:ascii="Calibri" w:cs="Calibri" w:eastAsia="Calibri" w:hAnsi="Calibri"/>
          <w:i/>
          <w:iCs/>
          <w:color w:val="475569"/>
          <w:sz w:val="18"/>
          <w:szCs w:val="18"/>
        </w:rPr>
        <w:t xml:space="preserve">Slide type: 5-step lifecycle  ·  5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Five-step custom model design process. Same pattern Microsoft documents for Foundry projects.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1/5</w:t>
      </w:r>
      <w:r>
        <w:rPr>
          <w:color w:val="AAAAAA"/>
          <w:sz w:val="14"/>
          <w:szCs w:val="14"/>
        </w:rPr>
        <w:t xml:space="preserve">   ·   </w:t>
      </w:r>
      <w:r>
        <w:rPr>
          <w:rFonts w:ascii="Calibri" w:cs="Calibri" w:eastAsia="Calibri" w:hAnsi="Calibri"/>
          <w:b/>
          <w:bCs/>
          <w:color w:val="1D4ED8"/>
          <w:sz w:val="16"/>
          <w:szCs w:val="16"/>
        </w:rPr>
        <w:t xml:space="preserve">Step 1 — Define Business Objectives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one. Define business objectives. Measurable outcomes. Accuracy targets. Time-saved goals. Cost efficiency. Map directly to use cases where custom outperforms prebuilt. Make sure the gap is real before committing to the custom path.</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2/5</w:t>
      </w:r>
      <w:r>
        <w:rPr>
          <w:color w:val="AAAAAA"/>
          <w:sz w:val="14"/>
          <w:szCs w:val="14"/>
        </w:rPr>
        <w:t xml:space="preserve">   ·   </w:t>
      </w:r>
      <w:r>
        <w:rPr>
          <w:rFonts w:ascii="Calibri" w:cs="Calibri" w:eastAsia="Calibri" w:hAnsi="Calibri"/>
          <w:b/>
          <w:bCs/>
          <w:color w:val="1D4ED8"/>
          <w:sz w:val="16"/>
          <w:szCs w:val="16"/>
        </w:rPr>
        <w:t xml:space="preserve">Step 2 — Assess Data Requirements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two. Assess data requirements. Inventory proprietary datasets. Identify gaps in labeling, quality, diversity, structure. Verify governance allows training use. Most projects fail here — discovering that the data isn't usable for training. Quality data is the single biggest determinant of custom model success.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3/5</w:t>
      </w:r>
      <w:r>
        <w:rPr>
          <w:color w:val="AAAAAA"/>
          <w:sz w:val="14"/>
          <w:szCs w:val="14"/>
        </w:rPr>
        <w:t xml:space="preserve">   ·   </w:t>
      </w:r>
      <w:r>
        <w:rPr>
          <w:rFonts w:ascii="Calibri" w:cs="Calibri" w:eastAsia="Calibri" w:hAnsi="Calibri"/>
          <w:b/>
          <w:bCs/>
          <w:color w:val="1D4ED8"/>
          <w:sz w:val="16"/>
          <w:szCs w:val="16"/>
        </w:rPr>
        <w:t xml:space="preserve">Step 3 — Select the Model Path</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three. Select the model path. Three options. Fine-tune a foundation model. Train a domain-built small model. Hybrid — combine custom with prebuilt copilots. Pick based on speed, accuracy, and edge requirements. Fine-tuning is usually the right starting point.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4/5</w:t>
      </w:r>
      <w:r>
        <w:rPr>
          <w:color w:val="AAAAAA"/>
          <w:sz w:val="14"/>
          <w:szCs w:val="14"/>
        </w:rPr>
        <w:t xml:space="preserve">   ·   </w:t>
      </w:r>
      <w:r>
        <w:rPr>
          <w:rFonts w:ascii="Calibri" w:cs="Calibri" w:eastAsia="Calibri" w:hAnsi="Calibri"/>
          <w:b/>
          <w:bCs/>
          <w:color w:val="1D4ED8"/>
          <w:sz w:val="16"/>
          <w:szCs w:val="16"/>
        </w:rPr>
        <w:t xml:space="preserve">Step 4 — Enterprise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four. Enterprise integration. Connect to Dynamics 365, Azure Functions and Logic Apps, Foundry agents, Azure AI Search. Integration is rarely the bottleneck — but skipping it means the model doesn't reach users. Plan integration alongside training, not after.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5/5</w:t>
      </w:r>
      <w:r>
        <w:rPr>
          <w:color w:val="AAAAAA"/>
          <w:sz w:val="14"/>
          <w:szCs w:val="14"/>
        </w:rPr>
        <w:t xml:space="preserve">   ·   </w:t>
      </w:r>
      <w:r>
        <w:rPr>
          <w:rFonts w:ascii="Calibri" w:cs="Calibri" w:eastAsia="Calibri" w:hAnsi="Calibri"/>
          <w:b/>
          <w:bCs/>
          <w:color w:val="1D4ED8"/>
          <w:sz w:val="16"/>
          <w:szCs w:val="16"/>
        </w:rPr>
        <w:t xml:space="preserve">Step 5 — Validation &amp; Evaluation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five. Validation and evaluation. Scenario-based tests. Safety and bias analysis. Stress, latency, scaling tests. ROI confirmation. Don't skip the bias analysis — that's the audit failure waiting to happen. Every custom model needs adversarial testing.</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06</w:t>
      </w:r>
      <w:r>
        <w:rPr>
          <w:color w:val="CCCCCC"/>
          <w:sz w:val="18"/>
          <w:szCs w:val="18"/>
        </w:rPr>
        <w:t xml:space="preserve">   |   </w:t>
      </w:r>
      <w:r>
        <w:rPr>
          <w:rFonts w:ascii="Calibri" w:cs="Calibri" w:eastAsia="Calibri" w:hAnsi="Calibri"/>
          <w:b/>
          <w:bCs/>
          <w:color w:val="1D4ED8"/>
          <w:sz w:val="22"/>
          <w:szCs w:val="22"/>
        </w:rPr>
        <w:t xml:space="preserve">Section Divider — Unit 2: M365 Copilot Agents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two. Designing agents in Microsoft 365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most common extensibility scenario. Way more common than custom Foundry models. Modular, instruction-driven agents that live inside Teams, Outlook, Loop, SharePoint. If you're not sure where to start, start here.</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07</w:t>
      </w:r>
      <w:r>
        <w:rPr>
          <w:color w:val="CCCCCC"/>
          <w:sz w:val="18"/>
          <w:szCs w:val="18"/>
        </w:rPr>
        <w:t xml:space="preserve">   |   </w:t>
      </w:r>
      <w:r>
        <w:rPr>
          <w:rFonts w:ascii="Calibri" w:cs="Calibri" w:eastAsia="Calibri" w:hAnsi="Calibri"/>
          <w:b/>
          <w:bCs/>
          <w:color w:val="1D4ED8"/>
          <w:sz w:val="22"/>
          <w:szCs w:val="22"/>
        </w:rPr>
        <w:t xml:space="preserve">M365 Agent Design — 3 Steps</w:t>
      </w:r>
    </w:p>
    <w:p>
      <w:pPr>
        <w:spacing w:after="80" w:before="60"/>
      </w:pPr>
      <w:r>
        <w:rPr>
          <w:rFonts w:ascii="Calibri" w:cs="Calibri" w:eastAsia="Calibri" w:hAnsi="Calibri"/>
          <w:i/>
          <w:iCs/>
          <w:color w:val="475569"/>
          <w:sz w:val="18"/>
          <w:szCs w:val="18"/>
        </w:rPr>
        <w:t xml:space="preserve">Slide type: 3-step framework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Three-step design framework for Microsoft 365 Copilot agents. Understand the core problem. Define the agent's behavior. Connect data and tools. Sequential. Don't connect data before you've defined behavior.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Step 1 — Understand the Core Problem</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one. Understand the core problem. Define the task. Identify the business goal supported. Determine what decisions the agent must make. Specify what systems it interacts with. Focus on a single high-value need — not a Swiss Army knife. Lead preparation. Case triage. Policy Q&amp;A. One agent, one purpose.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Step 2 — Define Agent Behavior</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two. Define agent behavior. Specify the role — for example, customer service triage assistant. Define allowed and disallowed capabilities. Set guardrails — tone, content boundaries, compliance limits. Identify conditions that require escalation to human review. This is where Chapter 5's Responsible AI tenets get operationalized.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Step 3 — Connect Data and Tools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Step three. Connect data and tools. Microsoft Graph data and organizational content — SharePoint, OneDrive, Teams messages, files. Built-in connectors and actions. Custom APIs when required. Always operate within least privilege and zero trust security boundaries.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08</w:t>
      </w:r>
      <w:r>
        <w:rPr>
          <w:color w:val="CCCCCC"/>
          <w:sz w:val="18"/>
          <w:szCs w:val="18"/>
        </w:rPr>
        <w:t xml:space="preserve">   |   </w:t>
      </w:r>
      <w:r>
        <w:rPr>
          <w:rFonts w:ascii="Calibri" w:cs="Calibri" w:eastAsia="Calibri" w:hAnsi="Calibri"/>
          <w:b/>
          <w:bCs/>
          <w:color w:val="1D4ED8"/>
          <w:sz w:val="22"/>
          <w:szCs w:val="22"/>
        </w:rPr>
        <w:t xml:space="preserve">Four Collaboration Patterns</w:t>
      </w:r>
    </w:p>
    <w:p>
      <w:pPr>
        <w:spacing w:after="80" w:before="60"/>
      </w:pPr>
      <w:r>
        <w:rPr>
          <w:rFonts w:ascii="Calibri" w:cs="Calibri" w:eastAsia="Calibri" w:hAnsi="Calibri"/>
          <w:i/>
          <w:iCs/>
          <w:color w:val="475569"/>
          <w:sz w:val="18"/>
          <w:szCs w:val="18"/>
        </w:rPr>
        <w:t xml:space="preserve">Slide type: 4 collaboration patterns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collaboration patterns when multiple M365 agents work together. Chapter 3 covered orchestration patterns at the strategy level. These are the M365-specific implementations. Pick based on whether agents work in series, in parallel, iteratively, or under a coordinator.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Pattern 1 — Sequential Workflow</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one. Sequential workflow. Agent A passes to Agent B passes to user review. Linear pipeline. Used when each step depends on the previous one. Research, then analyze, then report. Each agent's output is the next agent's input.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Pattern 2 — Parallel Evaluation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two. Parallel evaluation. Multiple agents analyze the same data simultaneously, results combined. Used for diverse perspectives. Risk analysis from multiple angles. Comparison shopping. Each agent brings a different lens, then a coordinator synthesizes the results.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Pattern 3 — Feedback Loop Iteration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three. Feedback loop iteration. Agent refines content until quality threshold is met. Drafter agent plus reviewer agent. The reviewer pushes back until standards are hit. Chapter 5's prompt actions can be wired together this way for high-quality content generation.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Pattern 4 — Orchestrated Interaction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four. Orchestrated interaction. Primary agent delegates subtasks based on intent or conditions. The conductor pattern. Chapter 3's Magentic and handoff orchestration applied at the M365 layer. The right choice when there's no single linear flow.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09</w:t>
      </w:r>
      <w:r>
        <w:rPr>
          <w:color w:val="CCCCCC"/>
          <w:sz w:val="18"/>
          <w:szCs w:val="18"/>
        </w:rPr>
        <w:t xml:space="preserve">   |   </w:t>
      </w:r>
      <w:r>
        <w:rPr>
          <w:rFonts w:ascii="Calibri" w:cs="Calibri" w:eastAsia="Calibri" w:hAnsi="Calibri"/>
          <w:b/>
          <w:bCs/>
          <w:color w:val="1D4ED8"/>
          <w:sz w:val="22"/>
          <w:szCs w:val="22"/>
        </w:rPr>
        <w:t xml:space="preserve">Knowledge Check — Question 1</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M365 Copilot design. Which principle is most important when designing agents for Microsoft 365 Copilot?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clear intent, guardrails, and scoped permissions. The foundation of safe, trustworthy M365 Copilot agents. Adding many capabilities creates ambiguity and security risk. Ignoring data boundaries violates Chapter 5's privacy and accountability tenets. Removing user review removes accountability. Only narrow, well-scoped agents survive enterprise governance review.</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10</w:t>
      </w:r>
      <w:r>
        <w:rPr>
          <w:color w:val="CCCCCC"/>
          <w:sz w:val="18"/>
          <w:szCs w:val="18"/>
        </w:rPr>
        <w:t xml:space="preserve">   |   </w:t>
      </w:r>
      <w:r>
        <w:rPr>
          <w:rFonts w:ascii="Calibri" w:cs="Calibri" w:eastAsia="Calibri" w:hAnsi="Calibri"/>
          <w:b/>
          <w:bCs/>
          <w:color w:val="1D4ED8"/>
          <w:sz w:val="22"/>
          <w:szCs w:val="22"/>
        </w:rPr>
        <w:t xml:space="preserve">Section Divider — Unit 3: Studio Extensibility + MCP</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three. Copilot Studio extensibility plus Model Context Protocol.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related topics. First, the four extensibility layers in Copilot Studio. Then how MCP standardizes business context retrieval — especially for Dynamics 365 Finance and Operations. MCP is the most important extensibility innovation in the past year.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11</w:t>
      </w:r>
      <w:r>
        <w:rPr>
          <w:color w:val="CCCCCC"/>
          <w:sz w:val="18"/>
          <w:szCs w:val="18"/>
        </w:rPr>
        <w:t xml:space="preserve">   |   </w:t>
      </w:r>
      <w:r>
        <w:rPr>
          <w:rFonts w:ascii="Calibri" w:cs="Calibri" w:eastAsia="Calibri" w:hAnsi="Calibri"/>
          <w:b/>
          <w:bCs/>
          <w:color w:val="1D4ED8"/>
          <w:sz w:val="22"/>
          <w:szCs w:val="22"/>
        </w:rPr>
        <w:t xml:space="preserve">Copilot Studio — 4 Extensibility Layers</w:t>
      </w:r>
    </w:p>
    <w:p>
      <w:pPr>
        <w:spacing w:after="80" w:before="60"/>
      </w:pPr>
      <w:r>
        <w:rPr>
          <w:rFonts w:ascii="Calibri" w:cs="Calibri" w:eastAsia="Calibri" w:hAnsi="Calibri"/>
          <w:i/>
          <w:iCs/>
          <w:color w:val="475569"/>
          <w:sz w:val="18"/>
          <w:szCs w:val="18"/>
        </w:rPr>
        <w:t xml:space="preserve">Slide type: 4 extensibility layers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extensibility layers in Copilot Studio. Each represents a different level of customization depth. Use the lowest layer that meets the need. I'll bring them up in order.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Layer 1 — Instruction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one. Instruction level. Defines behavior, tone, boundaries, reasoning authority. Refines the agent's purpose, role, action patterns, escalation rules. The cheapest extension layer. Change wording, change behavior. Don't rebuild when prompt modification will do.</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Layer 2 — Skill</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two. Skill and capability. What the agent can do. Domain-specific operations. Retrieval skills. Action-oriented skills. Multi-step workflows. Build modular, reusable skills. The same skill can serve multiple agents — that's the power of the skill layer.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Layer 3 — Integration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three. Integration. Interaction with enterprise systems of record. Data retrieval. Action execution. External APIs. Event publishing. Data governance and least privilege. Watch for connector sprawl — standardize on a small set of well-documented connectors.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Layer 4 — Pro-Code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Layer four. Pro-code in Visual Studio Code. Last resort. Custom agent logic. Reusable components. Code-based tools. Source control. Lifecycle management. Use only when low-code can't deliver. Every line of code is a maintenance commitment.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12</w:t>
      </w:r>
      <w:r>
        <w:rPr>
          <w:color w:val="CCCCCC"/>
          <w:sz w:val="18"/>
          <w:szCs w:val="18"/>
        </w:rPr>
        <w:t xml:space="preserve">   |   </w:t>
      </w:r>
      <w:r>
        <w:rPr>
          <w:rFonts w:ascii="Calibri" w:cs="Calibri" w:eastAsia="Calibri" w:hAnsi="Calibri"/>
          <w:b/>
          <w:bCs/>
          <w:color w:val="1D4ED8"/>
          <w:sz w:val="22"/>
          <w:szCs w:val="22"/>
        </w:rPr>
        <w:t xml:space="preserve">Model Context Protocol — What &amp; Why</w:t>
      </w:r>
    </w:p>
    <w:p>
      <w:pPr>
        <w:spacing w:after="80" w:before="60"/>
      </w:pPr>
      <w:r>
        <w:rPr>
          <w:rFonts w:ascii="Calibri" w:cs="Calibri" w:eastAsia="Calibri" w:hAnsi="Calibri"/>
          <w:i/>
          <w:iCs/>
          <w:color w:val="475569"/>
          <w:sz w:val="18"/>
          <w:szCs w:val="18"/>
        </w:rPr>
        <w:t xml:space="preserve">Slide type: MCP hero + 3 patterns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Model Context Protocol — MCP. Standardized contract for retrieving business context. The most important extensibility innovation in the past year. I'll explain what it is, then walk through three integration patterns.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What is MCP?</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What is MCP? A structured contract for agent context access. Exposes business entities, relationships, metadata, domain-specific objects — especially in Dynamics 365 Finance and Operations. Reduces hallucination by grounding agents in authoritative business data. Enables consistent reasoning across multiple apps and agents. Improves explainability because every decision can trace back to authoritative source data.</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Pattern A — Context-Driven Reasoning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A. Context-driven reasoning. Agents retrieve real-time MCP context to ensure responses reflect authoritative business rules. Best for compliance-sensitive tasks — finance workflows, procurement, vendor management.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Pattern B — Workflow-Integrated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B. Workflow-integrated agents. Agents augment workflows by using MCP to drive approvals, escalate exceptions, summarize status. The decision-support pattern in active business processes. The agent doesn't run the workflow — it accelerates the humans running it.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Pattern C — Multi-Agent Collaboration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C. Multi-agent collaboration via MCP. Standardizes the data each agent can reference. Improves cross-domain collaboration — HR plus Finance plus Supply Chain agents. The big payoff — agents don't need point-to-point integrations because MCP is the shared semantic layer.</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13</w:t>
      </w:r>
      <w:r>
        <w:rPr>
          <w:color w:val="CCCCCC"/>
          <w:sz w:val="18"/>
          <w:szCs w:val="18"/>
        </w:rPr>
        <w:t xml:space="preserve">   |   </w:t>
      </w:r>
      <w:r>
        <w:rPr>
          <w:rFonts w:ascii="Calibri" w:cs="Calibri" w:eastAsia="Calibri" w:hAnsi="Calibri"/>
          <w:b/>
          <w:bCs/>
          <w:color w:val="1D4ED8"/>
          <w:sz w:val="22"/>
          <w:szCs w:val="22"/>
        </w:rPr>
        <w:t xml:space="preserve">Knowledge Check — Question 2</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extensibility. Which design approach best improves long-term extensibility for enterprise-grade Copilot Studio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modular skills, integrations, and reusable instruction components. The foundation of long-term extensibility. Hard-coded monoliths can't be evolved or reused. Avoiding custom actions or external connectors leaves capabilities on the table. Pro-code-only ignores the first three layers and creates unnecessary maintenance burden. The right answer combines all four extensibility layers — but starts with the lowest, most modular ones.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14</w:t>
      </w:r>
      <w:r>
        <w:rPr>
          <w:color w:val="CCCCCC"/>
          <w:sz w:val="18"/>
          <w:szCs w:val="18"/>
        </w:rPr>
        <w:t xml:space="preserve">   |   </w:t>
      </w:r>
      <w:r>
        <w:rPr>
          <w:rFonts w:ascii="Calibri" w:cs="Calibri" w:eastAsia="Calibri" w:hAnsi="Calibri"/>
          <w:b/>
          <w:bCs/>
          <w:color w:val="1D4ED8"/>
          <w:sz w:val="22"/>
          <w:szCs w:val="22"/>
        </w:rPr>
        <w:t xml:space="preserve">Section Divider — Unit 4: Advanced Capabilities</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Unit four. Advanced Copilot Studio capabilities.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powerful features. Computer Use — drive UIs without APIs. Deep reasoning — multi-step decision-making. Voice mode — hands-free interaction. Each unlocks scenarios that wouldn't be possible without them.</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15</w:t>
      </w:r>
      <w:r>
        <w:rPr>
          <w:color w:val="CCCCCC"/>
          <w:sz w:val="18"/>
          <w:szCs w:val="18"/>
        </w:rPr>
        <w:t xml:space="preserve">   |   </w:t>
      </w:r>
      <w:r>
        <w:rPr>
          <w:rFonts w:ascii="Calibri" w:cs="Calibri" w:eastAsia="Calibri" w:hAnsi="Calibri"/>
          <w:b/>
          <w:bCs/>
          <w:color w:val="1D4ED8"/>
          <w:sz w:val="22"/>
          <w:szCs w:val="22"/>
        </w:rPr>
        <w:t xml:space="preserve">Computer Use — When to Reach for It</w:t>
      </w:r>
    </w:p>
    <w:p>
      <w:pPr>
        <w:spacing w:after="80" w:before="60"/>
      </w:pPr>
      <w:r>
        <w:rPr>
          <w:rFonts w:ascii="Calibri" w:cs="Calibri" w:eastAsia="Calibri" w:hAnsi="Calibri"/>
          <w:i/>
          <w:iCs/>
          <w:color w:val="475569"/>
          <w:sz w:val="18"/>
          <w:szCs w:val="18"/>
        </w:rPr>
        <w:t xml:space="preserve">Slide type: 4 Computer Use scenarios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Computer Use. Lets agents control mouse and keyboard. Click buttons, fill forms, navigate UIs, extract on-screen text. The escape hatch when no API exists. Four scenario types where it shines. Use only when no API or connector exists — UI changes can break automation. Treat it as the API of last resort.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Scenario 1 — No API exists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Scenario one. No API exists. Legacy systems. Vendor portals without APIs. Desktop-only applications. The most common reason to reach for Computer Use. The vendor portal that hasn't updated its tech in fifteen years.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Scenario 2 — Repetitive UI tasks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Scenario two. Repetitive UI-driven tasks. Data entry. Form submission. Copy-paste workflows. The high-volume drudgery you'd otherwise hire seasonal staff for. Where the cost of automating beats the cost of manual labor.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Scenario 3 — Multi-app navigation</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Scenario three. Multi-app navigation. Pull data from a website, enter into CRM. Download report from portal. Update spreadsheets based on UI data. The bridge between systems that don't talk.</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Scenario 4 — Human-like reasoning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Scenario four. Human-like reasoning needed. Identifying the right button on a dynamic page. Navigating menus that change based on context. The agent uses reasoning to interpret the UI — same skills humans use. Vision plus reasoning combined.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16</w:t>
      </w:r>
      <w:r>
        <w:rPr>
          <w:color w:val="CCCCCC"/>
          <w:sz w:val="18"/>
          <w:szCs w:val="18"/>
        </w:rPr>
        <w:t xml:space="preserve">   |   </w:t>
      </w:r>
      <w:r>
        <w:rPr>
          <w:rFonts w:ascii="Calibri" w:cs="Calibri" w:eastAsia="Calibri" w:hAnsi="Calibri"/>
          <w:b/>
          <w:bCs/>
          <w:color w:val="1D4ED8"/>
          <w:sz w:val="22"/>
          <w:szCs w:val="22"/>
        </w:rPr>
        <w:t xml:space="preserve">Reasoning Depth &amp; Voice Mode</w:t>
      </w:r>
    </w:p>
    <w:p>
      <w:pPr>
        <w:spacing w:after="80" w:before="60"/>
      </w:pPr>
      <w:r>
        <w:rPr>
          <w:rFonts w:ascii="Calibri" w:cs="Calibri" w:eastAsia="Calibri" w:hAnsi="Calibri"/>
          <w:i/>
          <w:iCs/>
          <w:color w:val="475569"/>
          <w:sz w:val="18"/>
          <w:szCs w:val="18"/>
        </w:rPr>
        <w:t xml:space="preserve">Slide type: Standard / Deep / Voice 3-card  ·  3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behavioral capabilities. Standard reasoning, deep reasoning, voice mode. Pick based on the problem complexity and interaction modality.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1/3</w:t>
      </w:r>
      <w:r>
        <w:rPr>
          <w:color w:val="AAAAAA"/>
          <w:sz w:val="14"/>
          <w:szCs w:val="14"/>
        </w:rPr>
        <w:t xml:space="preserve">   ·   </w:t>
      </w:r>
      <w:r>
        <w:rPr>
          <w:rFonts w:ascii="Calibri" w:cs="Calibri" w:eastAsia="Calibri" w:hAnsi="Calibri"/>
          <w:b/>
          <w:bCs/>
          <w:color w:val="1D4ED8"/>
          <w:sz w:val="16"/>
          <w:szCs w:val="16"/>
        </w:rPr>
        <w:t xml:space="preserve">Standard Reasoning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Standard reasoning. The default. Fast responses. Lower compute. Conversational responses, summaries, simple calculations, basic workflow assistance. Use for ninety percent of agent interactions. This is what runs out of the box.</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2/3</w:t>
      </w:r>
      <w:r>
        <w:rPr>
          <w:color w:val="AAAAAA"/>
          <w:sz w:val="14"/>
          <w:szCs w:val="14"/>
        </w:rPr>
        <w:t xml:space="preserve">   ·   </w:t>
      </w:r>
      <w:r>
        <w:rPr>
          <w:rFonts w:ascii="Calibri" w:cs="Calibri" w:eastAsia="Calibri" w:hAnsi="Calibri"/>
          <w:b/>
          <w:bCs/>
          <w:color w:val="1D4ED8"/>
          <w:sz w:val="16"/>
          <w:szCs w:val="16"/>
        </w:rPr>
        <w:t xml:space="preserve">Deep Reasoning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Deep reasoning, currently in preview. Multi-step tasks, complex business rules, analytical processes, structured decision trees, scenario planning. Higher cost. Higher latency. Turn on only where it matters. Finance, compliance, engineering, operations, analytics — domains where step-by-step thinking actually pays off.</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3/3</w:t>
      </w:r>
      <w:r>
        <w:rPr>
          <w:color w:val="AAAAAA"/>
          <w:sz w:val="14"/>
          <w:szCs w:val="14"/>
        </w:rPr>
        <w:t xml:space="preserve">   ·   </w:t>
      </w:r>
      <w:r>
        <w:rPr>
          <w:rFonts w:ascii="Calibri" w:cs="Calibri" w:eastAsia="Calibri" w:hAnsi="Calibri"/>
          <w:b/>
          <w:bCs/>
          <w:color w:val="1D4ED8"/>
          <w:sz w:val="16"/>
          <w:szCs w:val="16"/>
        </w:rPr>
        <w:t xml:space="preserve">Voice Mode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Voice mode via IVR. Hands-free workflows. Natural communication. Customer service IVR. Field tech support. Healthcare triage. HR self-service. Different design rules from text agents. Short, clear phrasing. Confirmation steps. Design for interruptions and backtracking. Confidence checks before executing actions.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17</w:t>
      </w:r>
      <w:r>
        <w:rPr>
          <w:color w:val="CCCCCC"/>
          <w:sz w:val="18"/>
          <w:szCs w:val="18"/>
        </w:rPr>
        <w:t xml:space="preserve">   |   </w:t>
      </w:r>
      <w:r>
        <w:rPr>
          <w:rFonts w:ascii="Calibri" w:cs="Calibri" w:eastAsia="Calibri" w:hAnsi="Calibri"/>
          <w:b/>
          <w:bCs/>
          <w:color w:val="1D4ED8"/>
          <w:sz w:val="22"/>
          <w:szCs w:val="22"/>
        </w:rPr>
        <w:t xml:space="preserve">Knowledge Check — Question 3</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Quick check on Computer Use scenarios. Which scenario is best suited for Computer Use?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B — navigating a legacy desktop application. Computer Use is for cases where no API exists — legacy desktop apps are the canonical example. They have UIs but no programmable interface. A well-documented REST API should always be called directly — never click through a UI when an API is available. Batch data pipelines and offline analytics don't involve UI interaction at all. Computer Use is the API of last resort.</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18</w:t>
      </w:r>
      <w:r>
        <w:rPr>
          <w:color w:val="CCCCCC"/>
          <w:sz w:val="18"/>
          <w:szCs w:val="18"/>
        </w:rPr>
        <w:t xml:space="preserve">   |   </w:t>
      </w:r>
      <w:r>
        <w:rPr>
          <w:rFonts w:ascii="Calibri" w:cs="Calibri" w:eastAsia="Calibri" w:hAnsi="Calibri"/>
          <w:b/>
          <w:bCs/>
          <w:color w:val="1D4ED8"/>
          <w:sz w:val="22"/>
          <w:szCs w:val="22"/>
        </w:rPr>
        <w:t xml:space="preserve">Section Divider — Unit 5: M365 Optimization</w:t>
      </w:r>
    </w:p>
    <w:p>
      <w:pPr>
        <w:spacing w:after="80" w:before="60"/>
      </w:pPr>
      <w:r>
        <w:rPr>
          <w:rFonts w:ascii="Calibri" w:cs="Calibri" w:eastAsia="Calibri" w:hAnsi="Calibri"/>
          <w:i/>
          <w:iCs/>
          <w:color w:val="475569"/>
          <w:sz w:val="18"/>
          <w:szCs w:val="18"/>
        </w:rPr>
        <w:t xml:space="preserve">Slide type: Unit divider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unit. Optimizing M365 agents in Teams and SharePoint.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Where most enterprise users will actually meet your agents — embedded in their daily collaboration tools. Microsoft Graph automatically respects user permissions. Agents inherit what the user can see. That's both the power and the responsibility — Graph-grounded agents must be designed with permissions in mind.</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19</w:t>
      </w:r>
      <w:r>
        <w:rPr>
          <w:color w:val="CCCCCC"/>
          <w:sz w:val="18"/>
          <w:szCs w:val="18"/>
        </w:rPr>
        <w:t xml:space="preserve">   |   </w:t>
      </w:r>
      <w:r>
        <w:rPr>
          <w:rFonts w:ascii="Calibri" w:cs="Calibri" w:eastAsia="Calibri" w:hAnsi="Calibri"/>
          <w:b/>
          <w:bCs/>
          <w:color w:val="1D4ED8"/>
          <w:sz w:val="22"/>
          <w:szCs w:val="22"/>
        </w:rPr>
        <w:t xml:space="preserve">Four M365 Solution Patterns</w:t>
      </w:r>
    </w:p>
    <w:p>
      <w:pPr>
        <w:spacing w:after="80" w:before="60"/>
      </w:pPr>
      <w:r>
        <w:rPr>
          <w:rFonts w:ascii="Calibri" w:cs="Calibri" w:eastAsia="Calibri" w:hAnsi="Calibri"/>
          <w:i/>
          <w:iCs/>
          <w:color w:val="475569"/>
          <w:sz w:val="18"/>
          <w:szCs w:val="18"/>
        </w:rPr>
        <w:t xml:space="preserve">Slide type: 4 M365 solution patterns  ·  4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solution patterns for M365 agents in Teams and SharePoint. Recognizable shapes you'll see across most enterprise scenarios.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1/4</w:t>
      </w:r>
      <w:r>
        <w:rPr>
          <w:color w:val="AAAAAA"/>
          <w:sz w:val="14"/>
          <w:szCs w:val="14"/>
        </w:rPr>
        <w:t xml:space="preserve">   ·   </w:t>
      </w:r>
      <w:r>
        <w:rPr>
          <w:rFonts w:ascii="Calibri" w:cs="Calibri" w:eastAsia="Calibri" w:hAnsi="Calibri"/>
          <w:b/>
          <w:bCs/>
          <w:color w:val="1D4ED8"/>
          <w:sz w:val="16"/>
          <w:szCs w:val="16"/>
        </w:rPr>
        <w:t xml:space="preserve">Pattern 1 — SharePoint Knowledge Assistant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one. SharePoint Knowledge Assistant. Answers site questions. Helps find documents. Provides summaries and insights. The most common starting point for SharePoint agents. HR policy assistant, IT help desk assistant, internal documentation assistant — all variations of this pattern.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2/4</w:t>
      </w:r>
      <w:r>
        <w:rPr>
          <w:color w:val="AAAAAA"/>
          <w:sz w:val="14"/>
          <w:szCs w:val="14"/>
        </w:rPr>
        <w:t xml:space="preserve">   ·   </w:t>
      </w:r>
      <w:r>
        <w:rPr>
          <w:rFonts w:ascii="Calibri" w:cs="Calibri" w:eastAsia="Calibri" w:hAnsi="Calibri"/>
          <w:b/>
          <w:bCs/>
          <w:color w:val="1D4ED8"/>
          <w:sz w:val="16"/>
          <w:szCs w:val="16"/>
        </w:rPr>
        <w:t xml:space="preserve">Pattern 2 — Teams Project Assistant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two. Teams Project Assistant. Supports project teams. Summarizes channel activity. Retrieves documents. Automates task creation from messages. Where productivity gains compound — a project assistant helps the whole team, not just one user.</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3/4</w:t>
      </w:r>
      <w:r>
        <w:rPr>
          <w:color w:val="AAAAAA"/>
          <w:sz w:val="14"/>
          <w:szCs w:val="14"/>
        </w:rPr>
        <w:t xml:space="preserve">   ·   </w:t>
      </w:r>
      <w:r>
        <w:rPr>
          <w:rFonts w:ascii="Calibri" w:cs="Calibri" w:eastAsia="Calibri" w:hAnsi="Calibri"/>
          <w:b/>
          <w:bCs/>
          <w:color w:val="1D4ED8"/>
          <w:sz w:val="16"/>
          <w:szCs w:val="16"/>
        </w:rPr>
        <w:t xml:space="preserve">Pattern 3 — Organizational Policy Assistant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three. Organizational Policy Assistant. Retrieves policies. Provides grounded answers. Ensures compliance and accuracy with citations. The compliance team's favorite agent type. Every answer cites its source — that's the audit trail.</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4/4</w:t>
      </w:r>
      <w:r>
        <w:rPr>
          <w:color w:val="AAAAAA"/>
          <w:sz w:val="14"/>
          <w:szCs w:val="14"/>
        </w:rPr>
        <w:t xml:space="preserve">   ·   </w:t>
      </w:r>
      <w:r>
        <w:rPr>
          <w:rFonts w:ascii="Calibri" w:cs="Calibri" w:eastAsia="Calibri" w:hAnsi="Calibri"/>
          <w:b/>
          <w:bCs/>
          <w:color w:val="1D4ED8"/>
          <w:sz w:val="16"/>
          <w:szCs w:val="16"/>
        </w:rPr>
        <w:t xml:space="preserve">Pattern 4 — Site Owner Support Agent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Pattern four. Site Owner Support Agent. Helps maintain SharePoint sites. Suggests improvements. Drafts pages and content. Recommends site organization. The agent that helps build other knowledge surfaces — the meta-pattern.</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20</w:t>
      </w:r>
      <w:r>
        <w:rPr>
          <w:color w:val="CCCCCC"/>
          <w:sz w:val="18"/>
          <w:szCs w:val="18"/>
        </w:rPr>
        <w:t xml:space="preserve">   |   </w:t>
      </w:r>
      <w:r>
        <w:rPr>
          <w:rFonts w:ascii="Calibri" w:cs="Calibri" w:eastAsia="Calibri" w:hAnsi="Calibri"/>
          <w:b/>
          <w:bCs/>
          <w:color w:val="1D4ED8"/>
          <w:sz w:val="22"/>
          <w:szCs w:val="22"/>
        </w:rPr>
        <w:t xml:space="preserve">Knowledge Check — Question 4</w:t>
      </w:r>
    </w:p>
    <w:p>
      <w:pPr>
        <w:spacing w:after="80" w:before="60"/>
      </w:pPr>
      <w:r>
        <w:rPr>
          <w:rFonts w:ascii="Calibri" w:cs="Calibri" w:eastAsia="Calibri" w:hAnsi="Calibri"/>
          <w:i/>
          <w:iCs/>
          <w:color w:val="475569"/>
          <w:sz w:val="18"/>
          <w:szCs w:val="18"/>
        </w:rPr>
        <w:t xml:space="preserve">Slide type: Quiz  ·  No step reveals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Last knowledge check. Which factor most strongly improves accuracy for SharePoint agents?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Pause. Pick A, B, C, or D. Show of hands.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The answer is C — structuring SharePoint content and metadata. The highest-leverage accuracy improvement. Microsoft Graph relies on metadata to find relevant content. Well-tagged libraries with clear titles, descriptions, and structured columns dramatically improve retrieval. Larger models don't help if the content is unstructured. Prompt engineering matters less than data quality. This ties directly to Chapter 2's grounding dimensions — cleanliness and availability.</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21</w:t>
      </w:r>
      <w:r>
        <w:rPr>
          <w:color w:val="CCCCCC"/>
          <w:sz w:val="18"/>
          <w:szCs w:val="18"/>
        </w:rPr>
        <w:t xml:space="preserve">   |   </w:t>
      </w:r>
      <w:r>
        <w:rPr>
          <w:rFonts w:ascii="Calibri" w:cs="Calibri" w:eastAsia="Calibri" w:hAnsi="Calibri"/>
          <w:b/>
          <w:bCs/>
          <w:color w:val="1D4ED8"/>
          <w:sz w:val="22"/>
          <w:szCs w:val="22"/>
        </w:rPr>
        <w:t xml:space="preserve">Scenario — ContractFlow Law Firm</w:t>
      </w:r>
    </w:p>
    <w:p>
      <w:pPr>
        <w:spacing w:after="80" w:before="60"/>
      </w:pPr>
      <w:r>
        <w:rPr>
          <w:rFonts w:ascii="Calibri" w:cs="Calibri" w:eastAsia="Calibri" w:hAnsi="Calibri"/>
          <w:i/>
          <w:iCs/>
          <w:color w:val="475569"/>
          <w:sz w:val="18"/>
          <w:szCs w:val="18"/>
        </w:rPr>
        <w:t xml:space="preserve">Slide type: Extensibility design scenario  ·  Reveal button</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Apply Chapter 6 end-to-end. Pairs work through this extensibility design challenge.</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ContractFlow has two hundred attorneys. They draft commercial contracts daily. Standard clauses sit in SharePoint. The firm has a fifty-page style guide for legal language. They use a twelve-year-old paralegal database with no API to look up case precedents. Senior attorneys want voice dictation while driving. Drafts must always cite the precedent. Compliance audits every clause. Project deadline — fourteen weeks.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Find a partner. Discuss four questions. One — custom Foundry model, M365 Copilot agent, or extended Copilot Studio? Justify with the indicators. Two — which extensibility layers — instruction, skill, integration, pro-code — would you use, and for what? Three — where does Computer Use fit? Where does MCP fit? Where does Voice Mode fit? Four — what's the right reasoning depth — Standard or Deep — for clause drafting?</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Defend your reasoning, not just your answer. Go.</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During the discussion: </w:t>
      </w:r>
      <w:r>
        <w:rPr>
          <w:rFonts w:ascii="Calibri" w:cs="Calibri" w:eastAsia="Calibri" w:hAnsi="Calibri"/>
          <w:color w:val="0F172A"/>
          <w:sz w:val="20"/>
          <w:szCs w:val="20"/>
        </w:rPr>
        <w:t xml:space="preserve">Walk the room. Listen for who jumps to 'build a custom Foundry model' when extending Copilot Studio would do. Push back hard. Only one indicator hits cleanly here — domain specificity. Insufficient justification for the cost and timeline of custom Foundry.</w:t>
      </w:r>
    </w:p>
    <w:p>
      <w:pPr>
        <w:pBdr>
          <w:top w:val="single" w:color="F59E0B" w:sz="4"/>
          <w:bottom w:val="single" w:color="F59E0B" w:sz="4"/>
          <w:left w:val="single" w:color="F59E0B" w:sz="4"/>
          <w:right w:val="single" w:color="F59E0B" w:sz="4"/>
        </w:pBdr>
        <w:shd w:fill="FEF3C7" w:val="clear"/>
        <w:spacing w:after="120" w:before="80"/>
      </w:pPr>
      <w:r>
        <w:rPr>
          <w:rFonts w:ascii="Calibri" w:cs="Calibri" w:eastAsia="Calibri" w:hAnsi="Calibri"/>
          <w:b/>
          <w:bCs/>
          <w:color w:val="B45309"/>
          <w:sz w:val="20"/>
          <w:szCs w:val="20"/>
        </w:rPr>
        <w:t xml:space="preserve">After they discuss: </w:t>
      </w:r>
      <w:r>
        <w:rPr>
          <w:rFonts w:ascii="Calibri" w:cs="Calibri" w:eastAsia="Calibri" w:hAnsi="Calibri"/>
          <w:color w:val="0F172A"/>
          <w:sz w:val="20"/>
          <w:szCs w:val="20"/>
        </w:rPr>
        <w:t xml:space="preserve">Click 'Reveal Discussion Points' on screen. Walk through the answer. The right approach is extended Copilot Studio across all four layers, with Computer Use only for the legacy paralegal database, MCP not core to drafting, voice mode for senior attorneys, and Deep reasoning enabled selectively for compliance-sensitive multi-jurisdiction analysis.</w:t>
      </w:r>
    </w:p>
    <w:p>
      <w:pPr>
        <w:pBdr>
          <w:top w:val="none" w:color="FFFFFF" w:sz="0"/>
          <w:bottom w:val="single" w:color="2563EB" w:sz="12" w:space="4"/>
          <w:left w:val="none" w:color="FFFFFF" w:sz="0"/>
          <w:right w:val="none" w:color="FFFFFF" w:sz="0"/>
        </w:pBdr>
        <w:spacing w:after="80" w:before="360"/>
      </w:pPr>
      <w:r>
        <w:rPr>
          <w:rFonts w:ascii="Consolas" w:cs="Consolas" w:eastAsia="Consolas" w:hAnsi="Consolas"/>
          <w:b/>
          <w:bCs/>
          <w:color w:val="2563EB"/>
          <w:spacing w:val="60"/>
          <w:sz w:val="18"/>
          <w:szCs w:val="18"/>
        </w:rPr>
        <w:t xml:space="preserve">SLIDE 22</w:t>
      </w:r>
      <w:r>
        <w:rPr>
          <w:color w:val="CCCCCC"/>
          <w:sz w:val="18"/>
          <w:szCs w:val="18"/>
        </w:rPr>
        <w:t xml:space="preserve">   |   </w:t>
      </w:r>
      <w:r>
        <w:rPr>
          <w:rFonts w:ascii="Calibri" w:cs="Calibri" w:eastAsia="Calibri" w:hAnsi="Calibri"/>
          <w:b/>
          <w:bCs/>
          <w:color w:val="1D4ED8"/>
          <w:sz w:val="22"/>
          <w:szCs w:val="22"/>
        </w:rPr>
        <w:t xml:space="preserve">Chapter 6 — Key Takeaways</w:t>
      </w:r>
    </w:p>
    <w:p>
      <w:pPr>
        <w:spacing w:after="80" w:before="60"/>
      </w:pPr>
      <w:r>
        <w:rPr>
          <w:rFonts w:ascii="Calibri" w:cs="Calibri" w:eastAsia="Calibri" w:hAnsi="Calibri"/>
          <w:i/>
          <w:iCs/>
          <w:color w:val="475569"/>
          <w:sz w:val="18"/>
          <w:szCs w:val="18"/>
        </w:rPr>
        <w:t xml:space="preserve">Slide type: Recap  ·  6 steps</w:t>
      </w:r>
    </w:p>
    <w:p>
      <w:pPr>
        <w:spacing w:after="60" w:before="160"/>
      </w:pPr>
      <w:r>
        <w:rPr>
          <w:rFonts w:ascii="Consolas" w:cs="Consolas" w:eastAsia="Consolas" w:hAnsi="Consolas"/>
          <w:b/>
          <w:bCs/>
          <w:color w:val="2563EB"/>
          <w:spacing w:val="80"/>
          <w:sz w:val="16"/>
          <w:szCs w:val="16"/>
        </w:rPr>
        <w:t xml:space="preserve">OPENING NOTES (slide loads)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Final recap. Six things to take into Chapter 7. I'll bring them up one at a time.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1/6</w:t>
      </w:r>
      <w:r>
        <w:rPr>
          <w:color w:val="AAAAAA"/>
          <w:sz w:val="14"/>
          <w:szCs w:val="14"/>
        </w:rPr>
        <w:t xml:space="preserve">   ·   </w:t>
      </w:r>
      <w:r>
        <w:rPr>
          <w:rFonts w:ascii="Calibri" w:cs="Calibri" w:eastAsia="Calibri" w:hAnsi="Calibri"/>
          <w:b/>
          <w:bCs/>
          <w:color w:val="1D4ED8"/>
          <w:sz w:val="16"/>
          <w:szCs w:val="16"/>
        </w:rPr>
        <w:t xml:space="preserve">Takeaway 1 — Custom Foundry indicators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One. Five indicators for custom Foundry models. Domain specificity. High-impact decisions. Data sovereignty. Unique workflows. Cost optimization at high volume. Need at least two strong indicators to justify the cost and timeline.</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2/6</w:t>
      </w:r>
      <w:r>
        <w:rPr>
          <w:color w:val="AAAAAA"/>
          <w:sz w:val="14"/>
          <w:szCs w:val="14"/>
        </w:rPr>
        <w:t xml:space="preserve">   ·   </w:t>
      </w:r>
      <w:r>
        <w:rPr>
          <w:rFonts w:ascii="Calibri" w:cs="Calibri" w:eastAsia="Calibri" w:hAnsi="Calibri"/>
          <w:b/>
          <w:bCs/>
          <w:color w:val="1D4ED8"/>
          <w:sz w:val="16"/>
          <w:szCs w:val="16"/>
        </w:rPr>
        <w:t xml:space="preserve">Takeaway 2 — M365 3-step framework</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Two. M365 Copilot agent design. Three sequential steps. Understand the problem. Define behavior. Connect data and tools. Don't connect data before behavior is defined.</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3/6</w:t>
      </w:r>
      <w:r>
        <w:rPr>
          <w:color w:val="AAAAAA"/>
          <w:sz w:val="14"/>
          <w:szCs w:val="14"/>
        </w:rPr>
        <w:t xml:space="preserve">   ·   </w:t>
      </w:r>
      <w:r>
        <w:rPr>
          <w:rFonts w:ascii="Calibri" w:cs="Calibri" w:eastAsia="Calibri" w:hAnsi="Calibri"/>
          <w:b/>
          <w:bCs/>
          <w:color w:val="1D4ED8"/>
          <w:sz w:val="16"/>
          <w:szCs w:val="16"/>
        </w:rPr>
        <w:t xml:space="preserve">Takeaway 3 — Four extensibility layers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Three. Copilot Studio extensibility has four layers. Instruction. Skill. Integration. Pro-code. Use the lowest layer that meets the need. Pro-code is the last resort, not the first.</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4/6</w:t>
      </w:r>
      <w:r>
        <w:rPr>
          <w:color w:val="AAAAAA"/>
          <w:sz w:val="14"/>
          <w:szCs w:val="14"/>
        </w:rPr>
        <w:t xml:space="preserve">   ·   </w:t>
      </w:r>
      <w:r>
        <w:rPr>
          <w:rFonts w:ascii="Calibri" w:cs="Calibri" w:eastAsia="Calibri" w:hAnsi="Calibri"/>
          <w:b/>
          <w:bCs/>
          <w:color w:val="1D4ED8"/>
          <w:sz w:val="16"/>
          <w:szCs w:val="16"/>
        </w:rPr>
        <w:t xml:space="preserve">Takeaway 4 — MCP standardizes context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Four. Model Context Protocol standardizes business context retrieval. Critical for Dynamics 365 Finance and Operations. Three patterns — context-driven reasoning, workflow-integrated agents, multi-agent collaboration.</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5/6</w:t>
      </w:r>
      <w:r>
        <w:rPr>
          <w:color w:val="AAAAAA"/>
          <w:sz w:val="14"/>
          <w:szCs w:val="14"/>
        </w:rPr>
        <w:t xml:space="preserve">   ·   </w:t>
      </w:r>
      <w:r>
        <w:rPr>
          <w:rFonts w:ascii="Calibri" w:cs="Calibri" w:eastAsia="Calibri" w:hAnsi="Calibri"/>
          <w:b/>
          <w:bCs/>
          <w:color w:val="1D4ED8"/>
          <w:sz w:val="16"/>
          <w:szCs w:val="16"/>
        </w:rPr>
        <w:t xml:space="preserve">Takeaway 5 — Computer Use is last resort</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Five. Computer Use is the API of last resort. Use only when no API exists, or for repetitive UI tasks, or multi-app navigation, or human-like UI reasoning. UI changes break it. Always prefer an API when one exists.</w:t>
      </w:r>
    </w:p>
    <w:p>
      <w:pPr>
        <w:pBdr>
          <w:top w:val="none" w:color="FFFFFF" w:sz="0"/>
          <w:bottom w:val="none" w:color="FFFFFF" w:sz="0"/>
          <w:left w:val="single" w:color="B45309" w:sz="12" w:space="8"/>
          <w:right w:val="none" w:color="FFFFFF" w:sz="0"/>
        </w:pBdr>
        <w:shd w:fill="FEF3C7" w:val="clear"/>
        <w:spacing w:after="40" w:before="200"/>
      </w:pPr>
      <w:r>
        <w:rPr>
          <w:rFonts w:ascii="Consolas" w:cs="Consolas" w:eastAsia="Consolas" w:hAnsi="Consolas"/>
          <w:b/>
          <w:bCs/>
          <w:color w:val="B45309"/>
          <w:spacing w:val="80"/>
          <w:sz w:val="14"/>
          <w:szCs w:val="14"/>
        </w:rPr>
        <w:t xml:space="preserve">STEP 6/6</w:t>
      </w:r>
      <w:r>
        <w:rPr>
          <w:color w:val="AAAAAA"/>
          <w:sz w:val="14"/>
          <w:szCs w:val="14"/>
        </w:rPr>
        <w:t xml:space="preserve">   ·   </w:t>
      </w:r>
      <w:r>
        <w:rPr>
          <w:rFonts w:ascii="Calibri" w:cs="Calibri" w:eastAsia="Calibri" w:hAnsi="Calibri"/>
          <w:b/>
          <w:bCs/>
          <w:color w:val="1D4ED8"/>
          <w:sz w:val="16"/>
          <w:szCs w:val="16"/>
        </w:rPr>
        <w:t xml:space="preserve">Takeaway 6 — Three behavioral capabilities</w:t>
      </w:r>
    </w:p>
    <w:p>
      <w:pPr>
        <w:pBdr>
          <w:top w:val="none" w:color="FFFFFF" w:sz="0"/>
          <w:bottom w:val="none" w:color="FFFFFF" w:sz="0"/>
          <w:left w:val="single" w:color="2563EB" w:sz="16" w:space="16"/>
          <w:right w:val="none" w:color="FFFFFF" w:sz="0"/>
        </w:pBdr>
        <w:spacing w:after="100" w:before="60" w:line="320"/>
        <w:ind w:left="240"/>
      </w:pPr>
      <w:r>
        <w:rPr>
          <w:rFonts w:ascii="Calibri" w:cs="Calibri" w:eastAsia="Calibri" w:hAnsi="Calibri"/>
          <w:color w:val="0F172A"/>
          <w:sz w:val="22"/>
          <w:szCs w:val="22"/>
        </w:rPr>
        <w:t xml:space="preserve">Six. Three behavioral capabilities. Standard reasoning is the default for ninety percent of interactions. Deep reasoning for multi-step structured decisions. Voice mode for hands-free with short phrasing and confirmation steps. That's Chapter 6. Onwards to Chapter 7 — orchestrating prebuilt agents, where we bring it all together with the prebuilt agent ecosystem.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Gennoor Tech  ·  AB-100  ·  Chapter 06  ·  Notes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AB-100 Chapter 6 Notes — Gennoor Tech</dc:title>
  <dc:creator>Gennoor Tech</dc:creator>
  <cp:lastModifiedBy>Un-named</cp:lastModifiedBy>
  <cp:revision>1</cp:revision>
  <dcterms:created xsi:type="dcterms:W3CDTF">2026-05-07T12:18:02.673Z</dcterms:created>
  <dcterms:modified xsi:type="dcterms:W3CDTF">2026-05-07T12:18:02.673Z</dcterms:modified>
</cp:coreProperties>
</file>

<file path=docProps/custom.xml><?xml version="1.0" encoding="utf-8"?>
<Properties xmlns="http://schemas.openxmlformats.org/officeDocument/2006/custom-properties" xmlns:vt="http://schemas.openxmlformats.org/officeDocument/2006/docPropsVTypes"/>
</file>