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rFonts w:ascii="Calibri" w:cs="Calibri" w:eastAsia="Calibri" w:hAnsi="Calibri"/>
          <w:b/>
          <w:bCs/>
          <w:color w:val="0C1426"/>
          <w:spacing w:val="80"/>
          <w:sz w:val="40"/>
          <w:szCs w:val="40"/>
        </w:rPr>
        <w:t xml:space="preserve">Ge</w:t>
      </w:r>
      <w:r>
        <w:rPr>
          <w:rFonts w:ascii="Calibri" w:cs="Calibri" w:eastAsia="Calibri" w:hAnsi="Calibri"/>
          <w:b/>
          <w:bCs/>
          <w:color w:val="2563EB"/>
          <w:spacing w:val="80"/>
          <w:sz w:val="40"/>
          <w:szCs w:val="40"/>
        </w:rPr>
        <w:t xml:space="preserve">nn</w:t>
      </w:r>
      <w:r>
        <w:rPr>
          <w:rFonts w:ascii="Calibri" w:cs="Calibri" w:eastAsia="Calibri" w:hAnsi="Calibri"/>
          <w:b/>
          <w:bCs/>
          <w:color w:val="F59E0B"/>
          <w:spacing w:val="80"/>
          <w:sz w:val="40"/>
          <w:szCs w:val="40"/>
        </w:rPr>
        <w:t xml:space="preserve">oo</w:t>
      </w:r>
      <w:r>
        <w:rPr>
          <w:rFonts w:ascii="Calibri" w:cs="Calibri" w:eastAsia="Calibri" w:hAnsi="Calibri"/>
          <w:b/>
          <w:bCs/>
          <w:color w:val="0C1426"/>
          <w:spacing w:val="80"/>
          <w:sz w:val="40"/>
          <w:szCs w:val="40"/>
        </w:rPr>
        <w:t xml:space="preserve">r Tech</w:t>
      </w:r>
    </w:p>
    <w:p>
      <w:pPr>
        <w:spacing w:after="200"/>
        <w:jc w:val="center"/>
      </w:pPr>
      <w:r>
        <w:rPr>
          <w:rFonts w:ascii="Calibri" w:cs="Calibri" w:eastAsia="Calibri" w:hAnsi="Calibri"/>
          <w:b/>
          <w:bCs/>
          <w:color w:val="1D4ED8"/>
          <w:sz w:val="32"/>
          <w:szCs w:val="32"/>
        </w:rPr>
        <w:t xml:space="preserve">Architecting Agentic AI Business Solutions</w:t>
      </w:r>
    </w:p>
    <w:p>
      <w:pPr>
        <w:spacing w:after="360"/>
        <w:jc w:val="center"/>
      </w:pPr>
      <w:r>
        <w:rPr>
          <w:rFonts w:ascii="Consolas" w:cs="Consolas" w:eastAsia="Consolas" w:hAnsi="Consolas"/>
          <w:b/>
          <w:bCs/>
          <w:color w:val="B58800"/>
          <w:spacing w:val="200"/>
          <w:sz w:val="22"/>
          <w:szCs w:val="22"/>
        </w:rPr>
        <w:t xml:space="preserve">★ COURSE FINALE ★</w:t>
      </w:r>
    </w:p>
    <w:p>
      <w:pPr>
        <w:pBdr>
          <w:top w:val="none" w:color="FFFFFF" w:sz="0"/>
          <w:bottom w:val="single" w:color="2563EB" w:sz="12" w:space="6"/>
          <w:left w:val="none" w:color="FFFFFF" w:sz="0"/>
          <w:right w:val="none" w:color="FFFFFF" w:sz="0"/>
        </w:pBdr>
        <w:spacing w:after="600"/>
        <w:jc w:val="center"/>
      </w:pPr>
      <w:r>
        <w:rPr>
          <w:rFonts w:ascii="Consolas" w:cs="Consolas" w:eastAsia="Consolas" w:hAnsi="Consolas"/>
          <w:color w:val="475569"/>
          <w:spacing w:val="80"/>
          <w:sz w:val="22"/>
          <w:szCs w:val="22"/>
        </w:rPr>
        <w:t xml:space="preserve">CHAPTER 11  ·  NOTES</w:t>
      </w:r>
    </w:p>
    <w:p>
      <w:pPr>
        <w:spacing w:after="200"/>
        <w:jc w:val="center"/>
      </w:pPr>
      <w:r>
        <w:rPr>
          <w:rFonts w:ascii="Calibri" w:cs="Calibri" w:eastAsia="Calibri" w:hAnsi="Calibri"/>
          <w:i/>
          <w:iCs/>
          <w:color w:val="0F172A"/>
          <w:sz w:val="38"/>
          <w:szCs w:val="38"/>
        </w:rPr>
        <w:t xml:space="preserve">Responsible AI, Security,</w:t>
      </w:r>
    </w:p>
    <w:p>
      <w:pPr>
        <w:spacing w:after="200"/>
        <w:jc w:val="center"/>
      </w:pPr>
      <w:r>
        <w:rPr>
          <w:rFonts w:ascii="Calibri" w:cs="Calibri" w:eastAsia="Calibri" w:hAnsi="Calibri"/>
          <w:i/>
          <w:iCs/>
          <w:color w:val="0F172A"/>
          <w:sz w:val="38"/>
          <w:szCs w:val="38"/>
        </w:rPr>
        <w:t xml:space="preserve">Governance, Risk Management,</w:t>
      </w:r>
    </w:p>
    <w:p>
      <w:pPr>
        <w:spacing w:after="600"/>
        <w:jc w:val="center"/>
      </w:pPr>
      <w:r>
        <w:rPr>
          <w:rFonts w:ascii="Calibri" w:cs="Calibri" w:eastAsia="Calibri" w:hAnsi="Calibri"/>
          <w:i/>
          <w:iCs/>
          <w:color w:val="0F172A"/>
          <w:sz w:val="38"/>
          <w:szCs w:val="38"/>
        </w:rPr>
        <w:t xml:space="preserve">and Compliance</w:t>
      </w:r>
    </w:p>
    <w:p>
      <w:pPr>
        <w:spacing w:after="60"/>
        <w:jc w:val="center"/>
      </w:pPr>
      <w:r>
        <w:rPr>
          <w:rFonts w:ascii="Calibri" w:cs="Calibri" w:eastAsia="Calibri" w:hAnsi="Calibri"/>
          <w:b/>
          <w:bCs/>
          <w:color w:val="0F172A"/>
          <w:sz w:val="22"/>
          <w:szCs w:val="22"/>
        </w:rPr>
        <w:t xml:space="preserve">How to use these notes:</w:t>
      </w:r>
    </w:p>
    <w:p>
      <w:pPr>
        <w:spacing w:after="80" w:before="120"/>
        <w:jc w:val="center"/>
      </w:pPr>
      <w:r>
        <w:rPr>
          <w:rFonts w:ascii="Calibri" w:cs="Calibri" w:eastAsia="Calibri" w:hAnsi="Calibri"/>
          <w:color w:val="0F172A"/>
          <w:sz w:val="20"/>
          <w:szCs w:val="20"/>
        </w:rPr>
        <w:t xml:space="preserve">Each slide has an opening notes, then numbered steps that match the on-screen reveals.</w:t>
      </w:r>
    </w:p>
    <w:p>
      <w:pPr>
        <w:spacing w:after="80"/>
        <w:jc w:val="center"/>
      </w:pPr>
      <w:r>
        <w:rPr>
          <w:rFonts w:ascii="Calibri" w:cs="Calibri" w:eastAsia="Calibri" w:hAnsi="Calibri"/>
          <w:color w:val="0F172A"/>
          <w:sz w:val="20"/>
          <w:szCs w:val="20"/>
        </w:rPr>
        <w:t xml:space="preserve">Read the opening, then press → and read the next step's notes as each component appears.</w:t>
      </w:r>
    </w:p>
    <w:p>
      <w:pPr>
        <w:spacing w:after="80"/>
        <w:jc w:val="center"/>
      </w:pPr>
      <w:r>
        <w:rPr>
          <w:rFonts w:ascii="Calibri" w:cs="Calibri" w:eastAsia="Calibri" w:hAnsi="Calibri"/>
          <w:color w:val="0F172A"/>
          <w:sz w:val="20"/>
          <w:szCs w:val="20"/>
        </w:rPr>
        <w:t xml:space="preserve">The slide deck and these notes reveal in lockstep. This chapter is the course finale.</w:t>
      </w:r>
    </w:p>
    <w:p>
      <w:r>
        <w:br w:type="page"/>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01</w:t>
      </w:r>
      <w:r>
        <w:rPr>
          <w:color w:val="CCCCCC"/>
          <w:sz w:val="18"/>
          <w:szCs w:val="18"/>
        </w:rPr>
        <w:t xml:space="preserve">   |   </w:t>
      </w:r>
      <w:r>
        <w:rPr>
          <w:rFonts w:ascii="Calibri" w:cs="Calibri" w:eastAsia="Calibri" w:hAnsi="Calibri"/>
          <w:b/>
          <w:bCs/>
          <w:color w:val="1D4ED8"/>
          <w:sz w:val="22"/>
          <w:szCs w:val="22"/>
        </w:rPr>
        <w:t xml:space="preserve">Title Slide — Chapter 11 Course Finale</w:t>
      </w:r>
    </w:p>
    <w:p>
      <w:pPr>
        <w:spacing w:after="80" w:before="60"/>
      </w:pPr>
      <w:r>
        <w:rPr>
          <w:rFonts w:ascii="Calibri" w:cs="Calibri" w:eastAsia="Calibri" w:hAnsi="Calibri"/>
          <w:i/>
          <w:iCs/>
          <w:color w:val="475569"/>
          <w:sz w:val="18"/>
          <w:szCs w:val="18"/>
        </w:rPr>
        <w:t xml:space="preserve">Slide type: Chapter opener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Welcome to Chapter 11. Responsible AI, security, governance, risk management, and compliance. The course finale.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Everything we've covered — from agent design through ALM — comes together in this chapter under the governance umbrella. This is where the AI architect role becomes genuinely accountable for what the organization deploys. Five themes covering responsible AI principles, defense in depth, AI vulnerabilities, compliance, and the operating model. By the end, you have a defensible framework for shipping AI in regulated environments.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02</w:t>
      </w:r>
      <w:r>
        <w:rPr>
          <w:color w:val="CCCCCC"/>
          <w:sz w:val="18"/>
          <w:szCs w:val="18"/>
        </w:rPr>
        <w:t xml:space="preserve">   |   </w:t>
      </w:r>
      <w:r>
        <w:rPr>
          <w:rFonts w:ascii="Calibri" w:cs="Calibri" w:eastAsia="Calibri" w:hAnsi="Calibri"/>
          <w:b/>
          <w:bCs/>
          <w:color w:val="1D4ED8"/>
          <w:sz w:val="22"/>
          <w:szCs w:val="22"/>
        </w:rPr>
        <w:t xml:space="preserve">What this chapter covers</w:t>
      </w:r>
    </w:p>
    <w:p>
      <w:pPr>
        <w:spacing w:after="80" w:before="60"/>
      </w:pPr>
      <w:r>
        <w:rPr>
          <w:rFonts w:ascii="Calibri" w:cs="Calibri" w:eastAsia="Calibri" w:hAnsi="Calibri"/>
          <w:i/>
          <w:iCs/>
          <w:color w:val="475569"/>
          <w:sz w:val="18"/>
          <w:szCs w:val="18"/>
        </w:rPr>
        <w:t xml:space="preserve">Slide type: Chapter overview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themes. The complete governance framework for AI solutions. Foundations through compliance through operating model. This is what makes you the architect, not the developer — accountability for what the system does in the wild.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Card 1 — Foundation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 RAI principles and 4-layer defense. Microsoft's six RAI principles. The 4-layer defense in depth model. Implementation guide for translating principles to controls.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Card 2 — Security &amp; Identity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 security and identity. Managed identities, RBAC, separation of duties. Data governance — DLP, sensitivity labels, retention. The control layer that protects the agent and its data.</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Card 3 — Vulnerabilities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 AI vulnerabilities and mitigations. The five vulnerability categories unique to AI. Plus the five mitigation strategies and layered defense.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Card 4 — Compliance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Fourth — compliance. Data residency, Purview controls, grounding data access, audit trails. The regulatory layer that auditors will examine.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Card 5 — Operating Model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Fifth — operating model. RACI for governance. Incident response. Production sign-off. The day-two operations that turn governance design into governance practice.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03</w:t>
      </w:r>
      <w:r>
        <w:rPr>
          <w:color w:val="CCCCCC"/>
          <w:sz w:val="18"/>
          <w:szCs w:val="18"/>
        </w:rPr>
        <w:t xml:space="preserve">   |   </w:t>
      </w:r>
      <w:r>
        <w:rPr>
          <w:rFonts w:ascii="Calibri" w:cs="Calibri" w:eastAsia="Calibri" w:hAnsi="Calibri"/>
          <w:b/>
          <w:bCs/>
          <w:color w:val="1D4ED8"/>
          <w:sz w:val="22"/>
          <w:szCs w:val="22"/>
        </w:rPr>
        <w:t xml:space="preserve">Section Divider — Unit 1: Foundation</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unit. RAI principles and the 4-layer defense in depth model.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foundation everything else builds on. Six Microsoft Responsible AI principles. The 4-layer defense architecture. The 6-area implementation guide.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04</w:t>
      </w:r>
      <w:r>
        <w:rPr>
          <w:color w:val="CCCCCC"/>
          <w:sz w:val="18"/>
          <w:szCs w:val="18"/>
        </w:rPr>
        <w:t xml:space="preserve">   |   </w:t>
      </w:r>
      <w:r>
        <w:rPr>
          <w:rFonts w:ascii="Calibri" w:cs="Calibri" w:eastAsia="Calibri" w:hAnsi="Calibri"/>
          <w:b/>
          <w:bCs/>
          <w:color w:val="1D4ED8"/>
          <w:sz w:val="22"/>
          <w:szCs w:val="22"/>
        </w:rPr>
        <w:t xml:space="preserve">Six Responsible AI Principles</w:t>
      </w:r>
    </w:p>
    <w:p>
      <w:pPr>
        <w:spacing w:after="80" w:before="60"/>
      </w:pPr>
      <w:r>
        <w:rPr>
          <w:rFonts w:ascii="Calibri" w:cs="Calibri" w:eastAsia="Calibri" w:hAnsi="Calibri"/>
          <w:i/>
          <w:iCs/>
          <w:color w:val="475569"/>
          <w:sz w:val="18"/>
          <w:szCs w:val="18"/>
        </w:rPr>
        <w:t xml:space="preserve">Slide type: 6 RAI principle cards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Microsoft's six Responsible AI principles. We touched on these in Chapter 5. Here they become governance lenses — every AI solution gets evaluated through all six. Skip any one and you have a gap that will surface in audit.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Principle 1 — Fairness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Principle one. Fairness. AI systems should treat all groups equitably. Technical controls — bias testing on training data, fairness evaluation across user groups, mitigation strategies for biased outputs. Disparate impact reviews are standard.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Principle 2 — Reliability &amp; Safety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Principle two. Reliability and Safety. Systems function as intended and prevent harm. Controls — testing across normal and edge cases, fallback behavior for ambiguous inputs, hallucination detection, safety boundaries in adversarial scenarios.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Principle 3 — Privacy &amp; Security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Principle three. Privacy and Security. Protect personal and organizational data. Controls — managed identities, RBAC, DLP, encryption at rest and in transit, data minimization. The most technical of the principles. Most of Chapter 11 elaborates this principle.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Principle 4 — Inclusiveness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Principle four. Inclusiveness. AI should empower people of all abilities and backgrounds. Controls — accessibility testing, multilingual support, diverse user testing. Often deprioritized — push back when teams skip this.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Principle 5 — Transparency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Principle five. Transparency. Solutions should be understandable with clear disclosures on AI usage. Controls — user-facing AI disclosures, model cards, documentation of limitations, escalation paths. Required by GDPR and similar regulations.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Principle 6 — Accountability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Principle six. Accountability. Organizations retain responsibility for AI decisions — humans accountable, not the AI. Controls — clear ownership, governance boards, audit trails, sign-off workflows. This is where the architect role lives — accountable for what the system does.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05</w:t>
      </w:r>
      <w:r>
        <w:rPr>
          <w:color w:val="CCCCCC"/>
          <w:sz w:val="18"/>
          <w:szCs w:val="18"/>
        </w:rPr>
        <w:t xml:space="preserve">   |   </w:t>
      </w:r>
      <w:r>
        <w:rPr>
          <w:rFonts w:ascii="Calibri" w:cs="Calibri" w:eastAsia="Calibri" w:hAnsi="Calibri"/>
          <w:b/>
          <w:bCs/>
          <w:color w:val="1D4ED8"/>
          <w:sz w:val="22"/>
          <w:szCs w:val="22"/>
        </w:rPr>
        <w:t xml:space="preserve">Four-Layer Defense in Depth</w:t>
      </w:r>
    </w:p>
    <w:p>
      <w:pPr>
        <w:spacing w:after="80" w:before="60"/>
      </w:pPr>
      <w:r>
        <w:rPr>
          <w:rFonts w:ascii="Calibri" w:cs="Calibri" w:eastAsia="Calibri" w:hAnsi="Calibri"/>
          <w:i/>
          <w:iCs/>
          <w:color w:val="475569"/>
          <w:sz w:val="18"/>
          <w:szCs w:val="18"/>
        </w:rPr>
        <w:t xml:space="preserve">Slide type: 4-layer defense stack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4-layer defense in depth model. Microsoft's published architecture for securing AI agents. Identity, Data, Observability, Threat. No single layer is sufficient — each one catches what the others miss.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Layer 1 — Identity &amp; Access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one. Identity and access. Managed identities per agent. RBAC at narrowest scope. Separation of duties — Maker, Publisher, Admin, Security. The first line of defense — without identity controls, nothing else matters. Access review cadence is part of this.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Layer 2 — Data Governance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two. Data governance. Data boundaries — internal versus public. DLP policies on connectors and actions. Sensitivity labels propagated through to outputs. Residency enforcement. The data layer protects what the agent can see and what it can leak.</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Layer 3 — Observability &amp; Cost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three. Observability and cost. Centralized logging for prompts, tool calls, errors, safety events. Dashboards for quality, safety, cost. Alerts for spend thresholds and anomalies. Tagged resources for attribution. You can't govern what you can't see.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Layer 4 — Threat Protection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four. Threat protection and assurance. AI-specific threat detection — prompt manipulation, data leakage attempts. Input/output filtering. Red team evaluations pre-production. Incident response readiness for the AI-specific failure modes. The active defense layer.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06</w:t>
      </w:r>
      <w:r>
        <w:rPr>
          <w:color w:val="CCCCCC"/>
          <w:sz w:val="18"/>
          <w:szCs w:val="18"/>
        </w:rPr>
        <w:t xml:space="preserve">   |   </w:t>
      </w:r>
      <w:r>
        <w:rPr>
          <w:rFonts w:ascii="Calibri" w:cs="Calibri" w:eastAsia="Calibri" w:hAnsi="Calibri"/>
          <w:b/>
          <w:bCs/>
          <w:color w:val="1D4ED8"/>
          <w:sz w:val="22"/>
          <w:szCs w:val="22"/>
        </w:rPr>
        <w:t xml:space="preserve">Six-Area Implementation Guide</w:t>
      </w:r>
    </w:p>
    <w:p>
      <w:pPr>
        <w:spacing w:after="80" w:before="60"/>
      </w:pPr>
      <w:r>
        <w:rPr>
          <w:rFonts w:ascii="Calibri" w:cs="Calibri" w:eastAsia="Calibri" w:hAnsi="Calibri"/>
          <w:i/>
          <w:iCs/>
          <w:color w:val="475569"/>
          <w:sz w:val="18"/>
          <w:szCs w:val="18"/>
        </w:rPr>
        <w:t xml:space="preserve">Slide type: 6 implementation areas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6-area implementation guide. Microsoft's published checklist for translating the 4-layer model into actual configuration work. Each area has named owners — these aren't tasks for the architect alone.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Area 1 — Establish identities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Area one. Establish identities and access. Create managed identities per agent per environment. Assign least-privilege Azure roles at narrowest scope. Define maker, publisher, admin role mappings and access review cadence.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Area 2 — Harden data access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Area two. Harden data access. Inventory knowledge sources and classify sensitivity. Apply DLP and sensitivity labels. Restrict risky connectors and HTTP calls. Configure data residency and retention for knowledge, logs, memory.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Area 3 — Stand up observability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Area three. Stand up observability. Route logs to a central workspace. Enable telemetry for prompts, tool calls, errors. Build dashboards for quality, safety, cost. Configure alerts for anomalies and budget thresholds.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Area 4 — Threat protection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Area four. Enable threat protection and testing. Turn on AI-aware threat protections and content safety checks. Schedule red team assessments. Track findings to closure before production release.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Area 5 — Govern environments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Area five. Govern environments and releases. Use environment routing to separate Dev, Test, Prod. Require peer review and approver sign-off to publish. Block publishing if mandatory checks fail. This connects directly to Chapter 10's ALM gates.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Area 6 — Incident response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Area six. Prepare incident response. Document disable and rollback steps. Communication templates. Evidence preservation. Tabletop exercises for high-impact agents. The first time you do incident response should not be in production.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07</w:t>
      </w:r>
      <w:r>
        <w:rPr>
          <w:color w:val="CCCCCC"/>
          <w:sz w:val="18"/>
          <w:szCs w:val="18"/>
        </w:rPr>
        <w:t xml:space="preserve">   |   </w:t>
      </w:r>
      <w:r>
        <w:rPr>
          <w:rFonts w:ascii="Calibri" w:cs="Calibri" w:eastAsia="Calibri" w:hAnsi="Calibri"/>
          <w:b/>
          <w:bCs/>
          <w:color w:val="1D4ED8"/>
          <w:sz w:val="22"/>
          <w:szCs w:val="22"/>
        </w:rPr>
        <w:t xml:space="preserve">Knowledge Check — Question 1</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option best reflects a defense in depth approach when designing enterprise AI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use layered identity, access, data governance, monitoring, and threat protection controls. Defense in depth means using layered controls. Microsoft's 4-layer model — identity, data, observability, threat — explicitly avoids any single point of failure. Granting broad access violates least privilege from the first layer. Letting the agent self-correct without human oversight removes accountability. Disabling logging breaks the observability layer. Layered controls is the only answer that matches the published architecture.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08</w:t>
      </w:r>
      <w:r>
        <w:rPr>
          <w:color w:val="CCCCCC"/>
          <w:sz w:val="18"/>
          <w:szCs w:val="18"/>
        </w:rPr>
        <w:t xml:space="preserve">   |   </w:t>
      </w:r>
      <w:r>
        <w:rPr>
          <w:rFonts w:ascii="Calibri" w:cs="Calibri" w:eastAsia="Calibri" w:hAnsi="Calibri"/>
          <w:b/>
          <w:bCs/>
          <w:color w:val="1D4ED8"/>
          <w:sz w:val="22"/>
          <w:szCs w:val="22"/>
        </w:rPr>
        <w:t xml:space="preserve">Section Divider — Unit 2: Security &amp; Identity</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two. Security and identity in detail.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Managed identities, RBAC, separation of duties. Plus four data governance controls — boundaries, DLP, retention, transparency. The control layer that protects agents and data.</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09</w:t>
      </w:r>
      <w:r>
        <w:rPr>
          <w:color w:val="CCCCCC"/>
          <w:sz w:val="18"/>
          <w:szCs w:val="18"/>
        </w:rPr>
        <w:t xml:space="preserve">   |   </w:t>
      </w:r>
      <w:r>
        <w:rPr>
          <w:rFonts w:ascii="Calibri" w:cs="Calibri" w:eastAsia="Calibri" w:hAnsi="Calibri"/>
          <w:b/>
          <w:bCs/>
          <w:color w:val="1D4ED8"/>
          <w:sz w:val="22"/>
          <w:szCs w:val="22"/>
        </w:rPr>
        <w:t xml:space="preserve">Identity Foundations</w:t>
      </w:r>
    </w:p>
    <w:p>
      <w:pPr>
        <w:spacing w:after="80" w:before="60"/>
      </w:pPr>
      <w:r>
        <w:rPr>
          <w:rFonts w:ascii="Calibri" w:cs="Calibri" w:eastAsia="Calibri" w:hAnsi="Calibri"/>
          <w:i/>
          <w:iCs/>
          <w:color w:val="475569"/>
          <w:sz w:val="18"/>
          <w:szCs w:val="18"/>
        </w:rPr>
        <w:t xml:space="preserve">Slide type: 2 pillars — Managed identities/RBAC + Separation of duties  ·  2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Identity foundations. Two pillars. Managed identities and RBAC on the left. Separation of duties on the right with the four roles. Every agent gets a unique identity, scoped to least privilege, with separated build-publish-admin-security roles. I'll reveal each side.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1/2</w:t>
      </w:r>
      <w:r>
        <w:rPr>
          <w:color w:val="AAAAAA"/>
          <w:sz w:val="14"/>
          <w:szCs w:val="14"/>
        </w:rPr>
        <w:t xml:space="preserve">   ·   </w:t>
      </w:r>
      <w:r>
        <w:rPr>
          <w:rFonts w:ascii="Calibri" w:cs="Calibri" w:eastAsia="Calibri" w:hAnsi="Calibri"/>
          <w:b/>
          <w:bCs/>
          <w:color w:val="1D4ED8"/>
          <w:sz w:val="16"/>
          <w:szCs w:val="16"/>
        </w:rPr>
        <w:t xml:space="preserve">Pillar 1 — Managed identities + RBAC</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Pillar one. Managed identities and RBAC. Every agent, tool, and pipeline has a first-class identity with ownership and lifecycle metadata. Assign managed identities per agent per environment to remove secrets and simplify rotation. RBAC at narrowest scope — subscription, resource group, or resource. Tighter is better. When acting on behalf of a user, propagate the user's permissions — don't elevate. When acting as itself, scope a service role with only necessary actions.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2/2</w:t>
      </w:r>
      <w:r>
        <w:rPr>
          <w:color w:val="AAAAAA"/>
          <w:sz w:val="14"/>
          <w:szCs w:val="14"/>
        </w:rPr>
        <w:t xml:space="preserve">   ·   </w:t>
      </w:r>
      <w:r>
        <w:rPr>
          <w:rFonts w:ascii="Calibri" w:cs="Calibri" w:eastAsia="Calibri" w:hAnsi="Calibri"/>
          <w:b/>
          <w:bCs/>
          <w:color w:val="1D4ED8"/>
          <w:sz w:val="16"/>
          <w:szCs w:val="16"/>
        </w:rPr>
        <w:t xml:space="preserve">Pillar 2 — Separation of duties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Pillar two. Separation of duties. Four roles. Maker — builds the agent. Publisher — promotes to production. Environment Admin — manages tier configuration. Security Admin — owns guardrails and DLP. Require approvals for publishing to production and for changes to high-risk capabilities like data modification. The same person should not be both Maker and Publisher — that's the entire point. If your team has only three people and you have to combine roles, document the deviation and accept the audit risk.</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10</w:t>
      </w:r>
      <w:r>
        <w:rPr>
          <w:color w:val="CCCCCC"/>
          <w:sz w:val="18"/>
          <w:szCs w:val="18"/>
        </w:rPr>
        <w:t xml:space="preserve">   |   </w:t>
      </w:r>
      <w:r>
        <w:rPr>
          <w:rFonts w:ascii="Calibri" w:cs="Calibri" w:eastAsia="Calibri" w:hAnsi="Calibri"/>
          <w:b/>
          <w:bCs/>
          <w:color w:val="1D4ED8"/>
          <w:sz w:val="22"/>
          <w:szCs w:val="22"/>
        </w:rPr>
        <w:t xml:space="preserve">Four Data Governance Controls</w:t>
      </w:r>
    </w:p>
    <w:p>
      <w:pPr>
        <w:spacing w:after="80" w:before="60"/>
      </w:pPr>
      <w:r>
        <w:rPr>
          <w:rFonts w:ascii="Calibri" w:cs="Calibri" w:eastAsia="Calibri" w:hAnsi="Calibri"/>
          <w:i/>
          <w:iCs/>
          <w:color w:val="475569"/>
          <w:sz w:val="18"/>
          <w:szCs w:val="18"/>
        </w:rPr>
        <w:t xml:space="preserve">Slide type: 4 data governance controls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data governance controls. Data boundaries. DLP and sensitivity. Retention and minimization. Transparency. Together these define what the agent can see, what it can use, what it can keep, and what it must disclose.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Control 1 — Data boundaries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Control one. Data boundaries. Separate internal from public workloads. Keep confidential sources out of public-facing agents. Honor data residency by selecting compliant regions for knowledge, logs, memory. The first cut — what the agent is even allowed to access.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Control 2 — DLP &amp; sensitivity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Control two. DLP and sensitivity. DLP policies restrict connectors, actions, data movement. Sensitivity labels applied to knowledge sources. Surface the highest label in responses where supported — so users know they're seeing confidential content. Block sensitive outbound flow.</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Control 3 — Retention &amp; minimization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Control three. Retention and minimization. Define retention windows for logs, agent memories, training data. Automate purge and anonymization. The minimization principle — only keep what you need, only as long as you need it. Redact PII at preprocessing.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Control 4 — Transparency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Control four. Transparency. Disclose AI involvement and data usage to users and stakeholders. Provide data deletion mechanisms. Required by RAI principle five — and by GDPR, CCPA, and most regional regulations. The architect needs to include disclosure in the UX design, not just the policy doc.</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11</w:t>
      </w:r>
      <w:r>
        <w:rPr>
          <w:color w:val="CCCCCC"/>
          <w:sz w:val="18"/>
          <w:szCs w:val="18"/>
        </w:rPr>
        <w:t xml:space="preserve">   |   </w:t>
      </w:r>
      <w:r>
        <w:rPr>
          <w:rFonts w:ascii="Calibri" w:cs="Calibri" w:eastAsia="Calibri" w:hAnsi="Calibri"/>
          <w:b/>
          <w:bCs/>
          <w:color w:val="1D4ED8"/>
          <w:sz w:val="22"/>
          <w:szCs w:val="22"/>
        </w:rPr>
        <w:t xml:space="preserve">Knowledge Check — Question 2</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approach best aligns with least privilege for a production agent that writes to a single storage account?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Storage Blob Data Contributor at the storage account scope for the agent's managed identity. The textbook least-privilege answer. The role is just enough to write blobs — not delete or manage. The scope is just the one account — not the whole resource group or subscription. Managed identities eliminate stored secrets. Owner at subscription is wildly over-privileged. Contributor at resource group is still too broad. Shared secrets in code violate the no-secrets principle and Reader can't even write. The combination of right role plus narrowest scope plus managed identity is the canonical pattern.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12</w:t>
      </w:r>
      <w:r>
        <w:rPr>
          <w:color w:val="CCCCCC"/>
          <w:sz w:val="18"/>
          <w:szCs w:val="18"/>
        </w:rPr>
        <w:t xml:space="preserve">   |   </w:t>
      </w:r>
      <w:r>
        <w:rPr>
          <w:rFonts w:ascii="Calibri" w:cs="Calibri" w:eastAsia="Calibri" w:hAnsi="Calibri"/>
          <w:b/>
          <w:bCs/>
          <w:color w:val="1D4ED8"/>
          <w:sz w:val="22"/>
          <w:szCs w:val="22"/>
        </w:rPr>
        <w:t xml:space="preserve">Section Divider — Unit 3: Vulnerabilities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three. AI vulnerabilities and mitigations.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threat model unique to AI. Five vulnerability categories, five mitigation strategies, the layered defense principle. Traditional security covers some of these but most are AI-specific.</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13</w:t>
      </w:r>
      <w:r>
        <w:rPr>
          <w:color w:val="CCCCCC"/>
          <w:sz w:val="18"/>
          <w:szCs w:val="18"/>
        </w:rPr>
        <w:t xml:space="preserve">   |   </w:t>
      </w:r>
      <w:r>
        <w:rPr>
          <w:rFonts w:ascii="Calibri" w:cs="Calibri" w:eastAsia="Calibri" w:hAnsi="Calibri"/>
          <w:b/>
          <w:bCs/>
          <w:color w:val="1D4ED8"/>
          <w:sz w:val="22"/>
          <w:szCs w:val="22"/>
        </w:rPr>
        <w:t xml:space="preserve">Five AI Vulnerability Categories</w:t>
      </w:r>
    </w:p>
    <w:p>
      <w:pPr>
        <w:spacing w:after="80" w:before="60"/>
      </w:pPr>
      <w:r>
        <w:rPr>
          <w:rFonts w:ascii="Calibri" w:cs="Calibri" w:eastAsia="Calibri" w:hAnsi="Calibri"/>
          <w:i/>
          <w:iCs/>
          <w:color w:val="475569"/>
          <w:sz w:val="18"/>
          <w:szCs w:val="18"/>
        </w:rPr>
        <w:t xml:space="preserve">Slide type: 5 vulnerability category cards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AI vulnerability categories. Prompt manipulation. Model behavior. Data exposure. Identity and RBAC gaps. Agent and workflow vulnerabilities. None of these existed in traditional software — or at least, not in this form.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Vulnerability 1 — Prompt manipulation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Vulnerability one. Prompt manipulation. Override system instructions like 'ignore previous instructions.' Deceptive context like 'you are allowed to disclose confidential.' Multi-step coercion. Hidden instructions in text, HTML, or files. The most uniquely AI vulnerability — there's no traditional analog. Impact — return of sensitive data, unintended actions, harmful output, manipulation of downstream automations.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Vulnerability 2 — Model behavior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Vulnerability two. Model behavior. Hallucinations or fabricated information. Toxicity. Poor boundary enforcement on safety instructions. Biased reasoning. Overgeneralization creating compliance risk. The model itself misbehaves — even without an adversary. Continuous evaluation needed for output safety, correctness, consistency, drift after retraining.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Vulnerability 3 — Data exposure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Vulnerability three. Data exposure. Prompts indirectly expose sensitive information. Logs and memory store unprotected data. Excessive permissions allow access to data the model doesn't need. Input files contain embedded malicious instructions. The exfiltration path. Architect solutions using data minimization, RBAC boundaries, intent-based access aligned with user roles.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Vulnerability 4 — Identity / RBAC gaps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Vulnerability four. Identity and RBAC gaps. Models or agents inherit elevated privileges. Attackers can interact with models using elevated privileges, access downstream tools, escalate privileges through misconfigured connectors or plugins. Traditional vulnerability with expanded surface area. Mitigations — least privilege, managed identities, environment segmentation, access log review.</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Vulnerability 5 — Agent / workflow</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Vulnerability five. Agent and workflow. Autonomous tool use without proper guardrails. Misinterpretation of instructions triggering unintended actions. Poor auditing and lack of rollback capability. Unsecured flows calling third-party endpoints. The action layer — most dangerous because actions persist. Architects must ensure agents act only within clearly defined tool capability boundaries.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14</w:t>
      </w:r>
      <w:r>
        <w:rPr>
          <w:color w:val="CCCCCC"/>
          <w:sz w:val="18"/>
          <w:szCs w:val="18"/>
        </w:rPr>
        <w:t xml:space="preserve">   |   </w:t>
      </w:r>
      <w:r>
        <w:rPr>
          <w:rFonts w:ascii="Calibri" w:cs="Calibri" w:eastAsia="Calibri" w:hAnsi="Calibri"/>
          <w:b/>
          <w:bCs/>
          <w:color w:val="1D4ED8"/>
          <w:sz w:val="22"/>
          <w:szCs w:val="22"/>
        </w:rPr>
        <w:t xml:space="preserve">Five Mitigation Strategies + Layered Defense</w:t>
      </w:r>
    </w:p>
    <w:p>
      <w:pPr>
        <w:spacing w:after="80" w:before="60"/>
      </w:pPr>
      <w:r>
        <w:rPr>
          <w:rFonts w:ascii="Calibri" w:cs="Calibri" w:eastAsia="Calibri" w:hAnsi="Calibri"/>
          <w:i/>
          <w:iCs/>
          <w:color w:val="475569"/>
          <w:sz w:val="18"/>
          <w:szCs w:val="18"/>
        </w:rPr>
        <w:t xml:space="preserve">Slide type: 5 mitigation strategies + layered defense quote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mitigation strategies plus the layered defense principle. Activity monitoring. Evaluation and testing. Identity and RBAC. Input/output filtering. Layered defense. None alone is sufficient. I'll reveal them, then the layered defense principle.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Mitigation 1 — Activity monitoring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Mitigation one. Implement robust AI activity monitoring. Monitor AI activity logs for anomalies. Investigate spikes in harmful or unexpected output. Dashboards tracking risk-based indicators. Capture user prompts, tool calls, actions.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Mitigation 2 — Evaluation &amp; testing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Mitigation two. Evaluate and test models regularly. Use structured evaluation pipelines. Test prompt resilience. Validate expected safety behavior. Assess impact of new model versions or retraining. Identify abnormal responses before release. Connects directly to Chapter 9.</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Mitigation 3 — Identity &amp; RBAC</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Mitigation three. Enforce strict identity and RBAC controls. Apply least-privilege principle. Use managed identities for models, agents, pipelines. Restrict data access to only what the AI needs. Implement approval workflows for privileged operations.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Mitigation 4 — Input/output filtering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Mitigation four. Strengthen input and output filtering. Block code execution attempts. Strip unsafe HTML or embedded prompts. Apply safety filters on model outputs. Limit file types the AI may accept. The active defense against prompt manipulation.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Mitigation 5 — Layered defense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Mitigation five. Apply layered defense. The meta-mitigation. No single control is sufficient. Combine identity boundaries, secure data governance, model evaluation and testing, monitoring and anomaly detection, incident response readiness. This is the architectural answer to AI vulnerability management.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The layered defense principle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layered defense principle in Microsoft's words. A layered approach reduces single point failure risk. Identity and access boundaries plus secure data governance plus model evaluation and testing plus monitoring and anomaly detection plus incident response readiness. Each layer compensates for what the others miss. This is what defense in depth means in practice.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15</w:t>
      </w:r>
      <w:r>
        <w:rPr>
          <w:color w:val="CCCCCC"/>
          <w:sz w:val="18"/>
          <w:szCs w:val="18"/>
        </w:rPr>
        <w:t xml:space="preserve">   |   </w:t>
      </w:r>
      <w:r>
        <w:rPr>
          <w:rFonts w:ascii="Calibri" w:cs="Calibri" w:eastAsia="Calibri" w:hAnsi="Calibri"/>
          <w:b/>
          <w:bCs/>
          <w:color w:val="1D4ED8"/>
          <w:sz w:val="22"/>
          <w:szCs w:val="22"/>
        </w:rPr>
        <w:t xml:space="preserve">Knowledge Check — Question 3</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scenario represents a prompt manipulation attack?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a user embeds hidden instructions inside an uploaded text file. A classic indirect prompt injection — a known prompt manipulation technique. The malicious instructions are processed by the model when it reads the file, even though the user appears to be asking for something innocuous like 'summarize this'. A user requesting their own scoped documentation is normal authorized use. A slow response is a performance issue, not security. An admin updating a managed identity is routine governance. Hidden instructions in input files is the textbook prompt manipulation pattern.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16</w:t>
      </w:r>
      <w:r>
        <w:rPr>
          <w:color w:val="CCCCCC"/>
          <w:sz w:val="18"/>
          <w:szCs w:val="18"/>
        </w:rPr>
        <w:t xml:space="preserve">   |   </w:t>
      </w:r>
      <w:r>
        <w:rPr>
          <w:rFonts w:ascii="Calibri" w:cs="Calibri" w:eastAsia="Calibri" w:hAnsi="Calibri"/>
          <w:b/>
          <w:bCs/>
          <w:color w:val="1D4ED8"/>
          <w:sz w:val="22"/>
          <w:szCs w:val="22"/>
        </w:rPr>
        <w:t xml:space="preserve">Section Divider — Unit 4: Compliance</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four. Compliance.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Data residency, Purview controls, grounding access, audit trails. The regulatory layer that auditors examine. Most enterprises pass or fail their AI audits based on what's covered in this unit.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17</w:t>
      </w:r>
      <w:r>
        <w:rPr>
          <w:color w:val="CCCCCC"/>
          <w:sz w:val="18"/>
          <w:szCs w:val="18"/>
        </w:rPr>
        <w:t xml:space="preserve">   |   </w:t>
      </w:r>
      <w:r>
        <w:rPr>
          <w:rFonts w:ascii="Calibri" w:cs="Calibri" w:eastAsia="Calibri" w:hAnsi="Calibri"/>
          <w:b/>
          <w:bCs/>
          <w:color w:val="1D4ED8"/>
          <w:sz w:val="22"/>
          <w:szCs w:val="22"/>
        </w:rPr>
        <w:t xml:space="preserve">Four Compliance Domains</w:t>
      </w:r>
    </w:p>
    <w:p>
      <w:pPr>
        <w:spacing w:after="80" w:before="60"/>
      </w:pPr>
      <w:r>
        <w:rPr>
          <w:rFonts w:ascii="Calibri" w:cs="Calibri" w:eastAsia="Calibri" w:hAnsi="Calibri"/>
          <w:i/>
          <w:iCs/>
          <w:color w:val="475569"/>
          <w:sz w:val="18"/>
          <w:szCs w:val="18"/>
        </w:rPr>
        <w:t xml:space="preserve">Slide type: 4 compliance domain cards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compliance domains. Data residency. Purview controls. Grounding data access. Audit trails. Each is what auditors will examine.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Domain 1 — Data residency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Domain one. Data residency. Where prompts, context, model inputs are processed. Where logs and conversations are stored. Whether unpublished agents and preview features follow different rules. Whether cross-region interactions occur during inference. Default to in-region with explicit approval for any cross-region exception. Connectors and plugins need to be verified — they don't always respect environment region settings.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Domain 2 — Purview controls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Domain two. Purview controls for Microsoft 365 Copilot. Sensitivity labels restrict cross-tenant or cross-region transmission. DLP rules prevent sensitive data in AI prompts or outputs. Auditing, policy insights, compliance documentation. Validate Copilot interaction logs follow residency rules. The Copilot stack has Purview integration — use it.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Domain 3 — Grounding access &amp; tuning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Domain three. Grounding data access controls. Least privilege by default. Role-aligned data partitions — separate by function such as customer support, finance, engineering. Clear ownership and stewardship. Auditability — log every retrieval. For model tuning specifically — segregated environments, approval workflows for new datasets, verified data lineage, restricted promotion of tuned models. Tuned models need stricter gates than base model usage.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Domain 4 — Audit trails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Domain four. Audit trails for models and data. Who, what, when. For models — registration, tuning, promotion, rollback, deployment, access attempts including unauthorized. For data — ingestion, schema changes, refresh cycles, sensitivity label changes, residency movement. Logs capture metadata, not content — to avoid unnecessary exposure of sensitive information. Retention — 90 days for low risk, 12-24 months for regulated, indefinite for incidents. Immutable logs with separation of duties.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18</w:t>
      </w:r>
      <w:r>
        <w:rPr>
          <w:color w:val="CCCCCC"/>
          <w:sz w:val="18"/>
          <w:szCs w:val="18"/>
        </w:rPr>
        <w:t xml:space="preserve">   |   </w:t>
      </w:r>
      <w:r>
        <w:rPr>
          <w:rFonts w:ascii="Calibri" w:cs="Calibri" w:eastAsia="Calibri" w:hAnsi="Calibri"/>
          <w:b/>
          <w:bCs/>
          <w:color w:val="1D4ED8"/>
          <w:sz w:val="22"/>
          <w:szCs w:val="22"/>
        </w:rPr>
        <w:t xml:space="preserve">Knowledge Check — Question 4 (final)</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knowledge check of the course. Which statement best describes a complete audit trail design for AI model changes?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it records who made changes, what changed, and when the changes occurred. A complete audit trail captures the classic 5W audit pattern adapted for AI. For model changes specifically, this means tracking model registration, tuning operations, environment promotions, rollbacks, deployment configuration changes, and access attempts including unauthorized ones. Capturing only deployment timestamps misses tuning, rollbacks, and access events. Latency metrics are operational telemetry, not audit. Logging only data access misses model lifecycle events. Who, what, when is the foundational audit pattern.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19</w:t>
      </w:r>
      <w:r>
        <w:rPr>
          <w:color w:val="CCCCCC"/>
          <w:sz w:val="18"/>
          <w:szCs w:val="18"/>
        </w:rPr>
        <w:t xml:space="preserve">   |   </w:t>
      </w:r>
      <w:r>
        <w:rPr>
          <w:rFonts w:ascii="Calibri" w:cs="Calibri" w:eastAsia="Calibri" w:hAnsi="Calibri"/>
          <w:b/>
          <w:bCs/>
          <w:color w:val="1D4ED8"/>
          <w:sz w:val="22"/>
          <w:szCs w:val="22"/>
        </w:rPr>
        <w:t xml:space="preserve">Section Divider — Unit 5: Operating Model</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unit of Chapter 11 and the course. The operating model.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Governance RACI. Incident response runbooks. Production sign-off. Where governance design becomes governance practice. Day-two work that turns frameworks into reality.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20</w:t>
      </w:r>
      <w:r>
        <w:rPr>
          <w:color w:val="CCCCCC"/>
          <w:sz w:val="18"/>
          <w:szCs w:val="18"/>
        </w:rPr>
        <w:t xml:space="preserve">   |   </w:t>
      </w:r>
      <w:r>
        <w:rPr>
          <w:rFonts w:ascii="Calibri" w:cs="Calibri" w:eastAsia="Calibri" w:hAnsi="Calibri"/>
          <w:b/>
          <w:bCs/>
          <w:color w:val="1D4ED8"/>
          <w:sz w:val="22"/>
          <w:szCs w:val="22"/>
        </w:rPr>
        <w:t xml:space="preserve">RACI &amp; Incident Response</w:t>
      </w:r>
    </w:p>
    <w:p>
      <w:pPr>
        <w:spacing w:after="80" w:before="60"/>
      </w:pPr>
      <w:r>
        <w:rPr>
          <w:rFonts w:ascii="Calibri" w:cs="Calibri" w:eastAsia="Calibri" w:hAnsi="Calibri"/>
          <w:i/>
          <w:iCs/>
          <w:color w:val="475569"/>
          <w:sz w:val="18"/>
          <w:szCs w:val="18"/>
        </w:rPr>
        <w:t xml:space="preserve">Slide type: Governance RACI matrix + 5-step incident response  ·  2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governance RACI plus the incident response playbook. RACI on the left — five activities across four roles. Incident response on the right — five steps from detection through recovery. Both required for production operation. I'll reveal each.</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1/2</w:t>
      </w:r>
      <w:r>
        <w:rPr>
          <w:color w:val="AAAAAA"/>
          <w:sz w:val="14"/>
          <w:szCs w:val="14"/>
        </w:rPr>
        <w:t xml:space="preserve">   ·   </w:t>
      </w:r>
      <w:r>
        <w:rPr>
          <w:rFonts w:ascii="Calibri" w:cs="Calibri" w:eastAsia="Calibri" w:hAnsi="Calibri"/>
          <w:b/>
          <w:bCs/>
          <w:color w:val="1D4ED8"/>
          <w:sz w:val="16"/>
          <w:szCs w:val="16"/>
        </w:rPr>
        <w:t xml:space="preserve">The governance RACI</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governance RACI. Five governance activities — RAI review, security baseline, residency configuration, vulnerability mitigation, audit and compliance reporting. Four roles — AI Architect, Security Admin, Compliance Officer, Product Owner. The AI Architect is Accountable for RAI review and vulnerability mitigation. Security Admin is Accountable for the security baseline. Compliance Officer is Accountable for audit and residency configuration. Product Owner is Responsible for business outcomes. The architect coordinates across these roles — not doing it all alone, but ensuring all five activities have named owners.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2/2</w:t>
      </w:r>
      <w:r>
        <w:rPr>
          <w:color w:val="AAAAAA"/>
          <w:sz w:val="14"/>
          <w:szCs w:val="14"/>
        </w:rPr>
        <w:t xml:space="preserve">   ·   </w:t>
      </w:r>
      <w:r>
        <w:rPr>
          <w:rFonts w:ascii="Calibri" w:cs="Calibri" w:eastAsia="Calibri" w:hAnsi="Calibri"/>
          <w:b/>
          <w:bCs/>
          <w:color w:val="1D4ED8"/>
          <w:sz w:val="16"/>
          <w:szCs w:val="16"/>
        </w:rPr>
        <w:t xml:space="preserve">5-step incident response playbook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incident response playbook. Five steps. Step one — Detect. Anomaly alerts, user reports, monitoring dashboards. Whichever fires first. Step two — Disable. Quickly disable the agent. Don't wait for the post-mortem. Step three — Preserve. Keep logs and artifacts for forensic analysis. Lock the model version, conversation log, grounding state. Step four — Notify. Communicate with stakeholders per pre-defined templates. Don't draft communications under pressure. Step five — Recover. Rollback to last known good state, then post-mortem. Determine root cause before re-enabling. Rehearse this for high-impact agents — tabletop exercises before production. The first time you do incident response should not be in production.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21</w:t>
      </w:r>
      <w:r>
        <w:rPr>
          <w:color w:val="CCCCCC"/>
          <w:sz w:val="18"/>
          <w:szCs w:val="18"/>
        </w:rPr>
        <w:t xml:space="preserve">   |   </w:t>
      </w:r>
      <w:r>
        <w:rPr>
          <w:rFonts w:ascii="Calibri" w:cs="Calibri" w:eastAsia="Calibri" w:hAnsi="Calibri"/>
          <w:b/>
          <w:bCs/>
          <w:color w:val="1D4ED8"/>
          <w:sz w:val="22"/>
          <w:szCs w:val="22"/>
        </w:rPr>
        <w:t xml:space="preserve">Course Capstone — PharmaCorp Scenario</w:t>
      </w:r>
    </w:p>
    <w:p>
      <w:pPr>
        <w:spacing w:after="80" w:before="60"/>
      </w:pPr>
      <w:r>
        <w:rPr>
          <w:rFonts w:ascii="Calibri" w:cs="Calibri" w:eastAsia="Calibri" w:hAnsi="Calibri"/>
          <w:i/>
          <w:iCs/>
          <w:color w:val="475569"/>
          <w:sz w:val="18"/>
          <w:szCs w:val="18"/>
        </w:rPr>
        <w:t xml:space="preserve">Slide type: Course capstone scenario  ·  Reveal button</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Course capstone scenario. Pairs work through this final integrating challenge. Pharmaceutical, multi-region, regulated industry — you have to apply Chapters 1 through 11 together. There's no single right answer — that's the point. Architect-level thinking required.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PharmaCorp is a global pharmaceutical company. 75,000 employees across 40+ countries. Subject to FDA, EMA, HIPAA, GDPR — full regulatory complexity. They're launching an enterprise AI assistant program with: a custom medical research model in Foundry for drug discovery, Copilot Studio agents for clinical trial coordination and regulatory submissions, D365 Customer Service AI for patient support, deployment across US, EU, APAC, and LATAM regions. 5,000+ users across business, scientific, and clinical roles. The CIO has asked you, the AI architect, to design the responsible AI, security, governance, risk, and compliance framework for the program. 12-month rollout. The Audit Committee will review your framework next month.</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Find a partner. Discuss seven questions. One — which RAI principles are most critical here? Two — design the 4-layer defense across the three components. What's different between medical research model and patient support? Three — top three vulnerabilities and mitigations. Four — multi-region compliance with GDPR, HIPAA, FDA validation. Five — audit trail requirements for FDA. Six — governance RACI. Where does the AI Architect sit? Seven — Day 1 incident plan if the medical model produces a hallucinated drug interaction.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This is the capstone of the course. Defend your reasoning, not just your answer. Go.</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During the discussion: </w:t>
      </w:r>
      <w:r>
        <w:rPr>
          <w:rFonts w:ascii="Calibri" w:cs="Calibri" w:eastAsia="Calibri" w:hAnsi="Calibri"/>
          <w:color w:val="0F172A"/>
          <w:sz w:val="20"/>
          <w:szCs w:val="20"/>
        </w:rPr>
        <w:t xml:space="preserve">Walk the room. Listen for who applies medical-research-model rigor to the patient-support chatbot — that's gold-plating that will delay the program. Listen also for teams that miss the EU GDPR right-to-erasure conflict with FDA's 7-year retention requirement — that's a real regulatory tension the architect has to surface to legal.</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After they discuss: </w:t>
      </w:r>
      <w:r>
        <w:rPr>
          <w:rFonts w:ascii="Calibri" w:cs="Calibri" w:eastAsia="Calibri" w:hAnsi="Calibri"/>
          <w:color w:val="0F172A"/>
          <w:sz w:val="20"/>
          <w:szCs w:val="20"/>
        </w:rPr>
        <w:t xml:space="preserve">Click 'Reveal Discussion Points' on screen. Walk through the answer. Key insights — Reliability/Safety is highest priority, match rigor to risk across components, model behavior is the top vulnerability for clinical context, multi-region needs per-region environments (16 minimum), audit trails capture metadata not content, AI Architect Accountable for technical calls but needs strong R partners, incident response biases toward disable when in doubt — patient safety over operational continuity. This is the capstone — leave time for groups to share back.</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22</w:t>
      </w:r>
      <w:r>
        <w:rPr>
          <w:color w:val="CCCCCC"/>
          <w:sz w:val="18"/>
          <w:szCs w:val="18"/>
        </w:rPr>
        <w:t xml:space="preserve">   |   </w:t>
      </w:r>
      <w:r>
        <w:rPr>
          <w:rFonts w:ascii="Calibri" w:cs="Calibri" w:eastAsia="Calibri" w:hAnsi="Calibri"/>
          <w:b/>
          <w:bCs/>
          <w:color w:val="1D4ED8"/>
          <w:sz w:val="22"/>
          <w:szCs w:val="22"/>
        </w:rPr>
        <w:t xml:space="preserve">Chapter 11 &amp; Course Finale</w:t>
      </w:r>
    </w:p>
    <w:p>
      <w:pPr>
        <w:spacing w:after="80" w:before="60"/>
      </w:pPr>
      <w:r>
        <w:rPr>
          <w:rFonts w:ascii="Calibri" w:cs="Calibri" w:eastAsia="Calibri" w:hAnsi="Calibri"/>
          <w:i/>
          <w:iCs/>
          <w:color w:val="475569"/>
          <w:sz w:val="18"/>
          <w:szCs w:val="18"/>
        </w:rPr>
        <w:t xml:space="preserve">Slide type: Course finale recap  ·  7 steps (6 takeaways + completion message)</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course finale. AB-100 complete. Six final takeaways from Chapter 11. Then the course-wide recap.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1/7</w:t>
      </w:r>
      <w:r>
        <w:rPr>
          <w:color w:val="AAAAAA"/>
          <w:sz w:val="14"/>
          <w:szCs w:val="14"/>
        </w:rPr>
        <w:t xml:space="preserve">   ·   </w:t>
      </w:r>
      <w:r>
        <w:rPr>
          <w:rFonts w:ascii="Calibri" w:cs="Calibri" w:eastAsia="Calibri" w:hAnsi="Calibri"/>
          <w:b/>
          <w:bCs/>
          <w:color w:val="1D4ED8"/>
          <w:sz w:val="16"/>
          <w:szCs w:val="16"/>
        </w:rPr>
        <w:t xml:space="preserve">Takeaway 1 — 6 RAI principles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Six RAI principles. Fairness, reliability and safety, privacy and security, inclusiveness, transparency, accountability. The lens through which every AI solution gets evaluated. Each principle maps to specific technical controls.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2/7</w:t>
      </w:r>
      <w:r>
        <w:rPr>
          <w:color w:val="AAAAAA"/>
          <w:sz w:val="14"/>
          <w:szCs w:val="14"/>
        </w:rPr>
        <w:t xml:space="preserve">   ·   </w:t>
      </w:r>
      <w:r>
        <w:rPr>
          <w:rFonts w:ascii="Calibri" w:cs="Calibri" w:eastAsia="Calibri" w:hAnsi="Calibri"/>
          <w:b/>
          <w:bCs/>
          <w:color w:val="1D4ED8"/>
          <w:sz w:val="16"/>
          <w:szCs w:val="16"/>
        </w:rPr>
        <w:t xml:space="preserve">Takeaway 2 — 4-layer defense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Four-layer defense in depth. Identity, data, observability, threat. Plus the 6-area implementation guide. No single layer is sufficient — defense in depth means layered controls compensate for each other.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3/7</w:t>
      </w:r>
      <w:r>
        <w:rPr>
          <w:color w:val="AAAAAA"/>
          <w:sz w:val="14"/>
          <w:szCs w:val="14"/>
        </w:rPr>
        <w:t xml:space="preserve">   ·   </w:t>
      </w:r>
      <w:r>
        <w:rPr>
          <w:rFonts w:ascii="Calibri" w:cs="Calibri" w:eastAsia="Calibri" w:hAnsi="Calibri"/>
          <w:b/>
          <w:bCs/>
          <w:color w:val="1D4ED8"/>
          <w:sz w:val="16"/>
          <w:szCs w:val="16"/>
        </w:rPr>
        <w:t xml:space="preserve">Takeaway 3 — Security &amp; identity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Security and identity. Managed identities per agent. RBAC at narrowest scope. Separation of duties — never the same person both Maker and Publisher. Four data governance controls — boundaries, DLP, retention, transparency.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4/7</w:t>
      </w:r>
      <w:r>
        <w:rPr>
          <w:color w:val="AAAAAA"/>
          <w:sz w:val="14"/>
          <w:szCs w:val="14"/>
        </w:rPr>
        <w:t xml:space="preserve">   ·   </w:t>
      </w:r>
      <w:r>
        <w:rPr>
          <w:rFonts w:ascii="Calibri" w:cs="Calibri" w:eastAsia="Calibri" w:hAnsi="Calibri"/>
          <w:b/>
          <w:bCs/>
          <w:color w:val="1D4ED8"/>
          <w:sz w:val="16"/>
          <w:szCs w:val="16"/>
        </w:rPr>
        <w:t xml:space="preserve">Takeaway 4 — Vulnerabilities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Five AI vulnerability categories. Prompt manipulation. Model behavior. Data exposure. Identity gaps. Agent workflow. Plus five mitigation strategies and the layered defense principle. The threat model traditional security doesn't cover.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5/7</w:t>
      </w:r>
      <w:r>
        <w:rPr>
          <w:color w:val="AAAAAA"/>
          <w:sz w:val="14"/>
          <w:szCs w:val="14"/>
        </w:rPr>
        <w:t xml:space="preserve">   ·   </w:t>
      </w:r>
      <w:r>
        <w:rPr>
          <w:rFonts w:ascii="Calibri" w:cs="Calibri" w:eastAsia="Calibri" w:hAnsi="Calibri"/>
          <w:b/>
          <w:bCs/>
          <w:color w:val="1D4ED8"/>
          <w:sz w:val="16"/>
          <w:szCs w:val="16"/>
        </w:rPr>
        <w:t xml:space="preserve">Takeaway 5 — Compliance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Compliance domains. Data residency. Purview controls. Grounding access. Audit trails. Capture metadata, not content. Match retention to regulatory class — 90 days low risk, 12-24 months regulated, indefinite for incidents.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6/7</w:t>
      </w:r>
      <w:r>
        <w:rPr>
          <w:color w:val="AAAAAA"/>
          <w:sz w:val="14"/>
          <w:szCs w:val="14"/>
        </w:rPr>
        <w:t xml:space="preserve">   ·   </w:t>
      </w:r>
      <w:r>
        <w:rPr>
          <w:rFonts w:ascii="Calibri" w:cs="Calibri" w:eastAsia="Calibri" w:hAnsi="Calibri"/>
          <w:b/>
          <w:bCs/>
          <w:color w:val="1D4ED8"/>
          <w:sz w:val="16"/>
          <w:szCs w:val="16"/>
        </w:rPr>
        <w:t xml:space="preserve">Takeaway 6 — Operating model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Six. Operating model. Governance RACI. Five-step incident response — detect, disable, preserve, notify, recover. The architect is accountable for the technical calls. And the course is complete.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7/7</w:t>
      </w:r>
      <w:r>
        <w:rPr>
          <w:color w:val="AAAAAA"/>
          <w:sz w:val="14"/>
          <w:szCs w:val="14"/>
        </w:rPr>
        <w:t xml:space="preserve">   ·   </w:t>
      </w:r>
      <w:r>
        <w:rPr>
          <w:rFonts w:ascii="Calibri" w:cs="Calibri" w:eastAsia="Calibri" w:hAnsi="Calibri"/>
          <w:b/>
          <w:bCs/>
          <w:color w:val="1D4ED8"/>
          <w:sz w:val="16"/>
          <w:szCs w:val="16"/>
        </w:rPr>
        <w:t xml:space="preserve">Course completion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AB-100 complete. You now have the architect's vocabulary. The bridge translation between business and AI. The five-phase framework. Microsoft stack mastery. Requirements analysis. AI strategy and CAF for AI. ROI evaluation. Agent and model design with Responsible AI built in. Extensibility. Orchestration of prebuilt agents. Monitoring and tuning. Testing strategy. ALM discipline. And finally — the governance umbrella that holds it all together. You're ready to architect agentic AI business solutions on the Microsoft platform — responsibly, securely, and at enterprise scale. Go build something — responsibly.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Gennoor Tech  ·  AB-100  ·  Chapter 11  ·  Course Finale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AB-100 Chapter 11 Notes — Gennoor Tech</dc:title>
  <dc:creator>Gennoor Tech</dc:creator>
  <cp:lastModifiedBy>Un-named</cp:lastModifiedBy>
  <cp:revision>1</cp:revision>
  <dcterms:created xsi:type="dcterms:W3CDTF">2026-05-07T12:18:04.241Z</dcterms:created>
  <dcterms:modified xsi:type="dcterms:W3CDTF">2026-05-07T12:18:04.241Z</dcterms:modified>
</cp:coreProperties>
</file>

<file path=docProps/custom.xml><?xml version="1.0" encoding="utf-8"?>
<Properties xmlns="http://schemas.openxmlformats.org/officeDocument/2006/custom-properties" xmlns:vt="http://schemas.openxmlformats.org/officeDocument/2006/docPropsVTypes"/>
</file>