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20"/>
        <w:jc w:val="center"/>
      </w:pPr>
      <w:r>
        <w:rPr>
          <w:rFonts w:ascii="Consolas" w:cs="Consolas" w:eastAsia="Consolas" w:hAnsi="Consolas"/>
          <w:color w:val="F59E0B"/>
          <w:spacing w:val="120"/>
          <w:sz w:val="18"/>
          <w:szCs w:val="18"/>
        </w:rPr>
        <w:t xml:space="preserve">AB-100  ·  CHAPTER 12  ·  FINAL REVISION</w:t>
      </w:r>
    </w:p>
    <w:p>
      <w:pPr>
        <w:spacing w:after="200"/>
        <w:jc w:val="center"/>
      </w:pPr>
      <w:r>
        <w:rPr>
          <w:rFonts w:ascii="Calibri" w:cs="Calibri" w:eastAsia="Calibri" w:hAnsi="Calibri"/>
          <w:b/>
          <w:bCs/>
          <w:color w:val="0C1426"/>
          <w:sz w:val="44"/>
          <w:szCs w:val="44"/>
        </w:rPr>
        <w:t xml:space="preserve">Final Revision</w:t>
      </w:r>
    </w:p>
    <w:p>
      <w:pPr>
        <w:spacing w:after="360"/>
        <w:jc w:val="center"/>
      </w:pPr>
      <w:r>
        <w:rPr>
          <w:rFonts w:ascii="Calibri" w:cs="Calibri" w:eastAsia="Calibri" w:hAnsi="Calibri"/>
          <w:b/>
          <w:bCs/>
          <w:color w:val="0C1426"/>
          <w:sz w:val="44"/>
          <w:szCs w:val="44"/>
        </w:rPr>
        <w:t xml:space="preserve">&amp; Exam Prep</w:t>
      </w:r>
    </w:p>
    <w:p>
      <w:pPr>
        <w:spacing w:after="200"/>
        <w:jc w:val="center"/>
      </w:pPr>
      <w:r>
        <w:rPr>
          <w:rFonts w:ascii="Consolas" w:cs="Consolas" w:eastAsia="Consolas" w:hAnsi="Consolas"/>
          <w:b/>
          <w:bCs/>
          <w:color w:val="B45309"/>
          <w:spacing w:val="200"/>
          <w:sz w:val="22"/>
          <w:szCs w:val="22"/>
        </w:rPr>
        <w:t xml:space="preserve">★ COURSE FINALE ★</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12  ·  NOTES</w:t>
      </w:r>
    </w:p>
    <w:p>
      <w:pPr>
        <w:spacing w:after="200"/>
        <w:jc w:val="center"/>
      </w:pPr>
      <w:r>
        <w:rPr>
          <w:rFonts w:ascii="Calibri" w:cs="Calibri" w:eastAsia="Calibri" w:hAnsi="Calibri"/>
          <w:i/>
          <w:iCs/>
          <w:color w:val="0F172A"/>
          <w:sz w:val="22"/>
          <w:szCs w:val="22"/>
        </w:rPr>
        <w:t xml:space="preserve">Cross-cutting frameworks · mental models · pitfalls · mock exam · career path</w:t>
      </w:r>
    </w:p>
    <w:p>
      <w:pPr>
        <w:spacing w:after="60" w:before="40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This is the course-wide revision and exam prep chapter. Condensed recall of all 11 chapters.</w:t>
      </w:r>
    </w:p>
    <w:p>
      <w:pPr>
        <w:spacing w:after="80"/>
        <w:jc w:val="center"/>
      </w:pPr>
      <w:r>
        <w:rPr>
          <w:rFonts w:ascii="Calibri" w:cs="Calibri" w:eastAsia="Calibri" w:hAnsi="Calibri"/>
          <w:color w:val="0F172A"/>
          <w:sz w:val="20"/>
          <w:szCs w:val="20"/>
        </w:rPr>
        <w:t xml:space="preserve">Each slide has opening notes, then numbered steps that match the on-screen reveals.</w:t>
      </w:r>
    </w:p>
    <w:p>
      <w:pPr>
        <w:spacing w:after="80"/>
        <w:jc w:val="center"/>
      </w:pPr>
      <w:r>
        <w:rPr>
          <w:rFonts w:ascii="Calibri" w:cs="Calibri" w:eastAsia="Calibri" w:hAnsi="Calibri"/>
          <w:color w:val="0F172A"/>
          <w:sz w:val="20"/>
          <w:szCs w:val="20"/>
        </w:rPr>
        <w:t xml:space="preserve">The slide deck and these notes reveal in lockstep. This chapter is the course finale.</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0C1426"/>
          <w:sz w:val="22"/>
          <w:szCs w:val="22"/>
        </w:rPr>
        <w:t xml:space="preserve">Title — Final Revision &amp; Exam Prep</w:t>
      </w:r>
    </w:p>
    <w:p>
      <w:pPr>
        <w:spacing w:after="80" w:before="60"/>
      </w:pPr>
      <w:r>
        <w:rPr>
          <w:rFonts w:ascii="Calibri" w:cs="Calibri" w:eastAsia="Calibri" w:hAnsi="Calibri"/>
          <w:i/>
          <w:iCs/>
          <w:color w:val="475569"/>
          <w:sz w:val="18"/>
          <w:szCs w:val="18"/>
        </w:rPr>
        <w:t xml:space="preserve">Slide type: Course finale title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12. Final revision and exam prep. The course finale before the certification.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We've covered eleven chapters of new material. This chapter is condensed recall — the frameworks, decision rules, and mental models you need on exam day. Plus the architect's career beyond AB-100.</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Prep guide: </w:t>
      </w:r>
      <w:r>
        <w:rPr>
          <w:rFonts w:ascii="Calibri" w:cs="Calibri" w:eastAsia="Calibri" w:hAnsi="Calibri"/>
          <w:color w:val="0F172A"/>
          <w:sz w:val="20"/>
          <w:szCs w:val="20"/>
        </w:rPr>
        <w:t xml:space="preserve">This chapter is best delivered after a break, end of Day 3. Energy may be low — focus on the high-density mental models and exam pitfalls. Skip rapidly through frameworks they remember well; slow down on the cross-cutting frameworks and pitfalls.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0C1426"/>
          <w:sz w:val="22"/>
          <w:szCs w:val="22"/>
        </w:rPr>
        <w:t xml:space="preserve">The Journey — 11 Chapters in One View</w:t>
      </w:r>
    </w:p>
    <w:p>
      <w:pPr>
        <w:spacing w:after="80" w:before="60"/>
      </w:pPr>
      <w:r>
        <w:rPr>
          <w:rFonts w:ascii="Calibri" w:cs="Calibri" w:eastAsia="Calibri" w:hAnsi="Calibri"/>
          <w:i/>
          <w:iCs/>
          <w:color w:val="475569"/>
          <w:sz w:val="18"/>
          <w:szCs w:val="18"/>
        </w:rPr>
        <w:t xml:space="preserve">Slide type: 12-tile journey map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journey. Eleven chapters in one view. Color-coded by skill area. Print this slide — it's your exam-day reference card.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1 is foundation. Chapters 2 through 4 are Plan area. Chapters 5 through 7 are Design area. Chapters 8 through 11 are Deploy area. Each tile shows the chapter's signature frameworks. Encourage learners to scan for the framework names and check their recall.</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Engagement tip: </w:t>
      </w:r>
      <w:r>
        <w:rPr>
          <w:rFonts w:ascii="Calibri" w:cs="Calibri" w:eastAsia="Calibri" w:hAnsi="Calibri"/>
          <w:color w:val="0F172A"/>
          <w:sz w:val="20"/>
          <w:szCs w:val="20"/>
        </w:rPr>
        <w:t xml:space="preserve">Ask the room: 'Which chapter has the strongest frameworks for you? Which one do you need to review?' This surfaces self-assessment without singling anyone out.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0C1426"/>
          <w:sz w:val="22"/>
          <w:szCs w:val="22"/>
        </w:rPr>
        <w:t xml:space="preserve">Section Divider — Plan Area Recap</w:t>
      </w:r>
    </w:p>
    <w:p>
      <w:pPr>
        <w:spacing w:after="80" w:before="60"/>
      </w:pPr>
      <w:r>
        <w:rPr>
          <w:rFonts w:ascii="Calibri" w:cs="Calibri" w:eastAsia="Calibri" w:hAnsi="Calibri"/>
          <w:i/>
          <w:iCs/>
          <w:color w:val="475569"/>
          <w:sz w:val="18"/>
          <w:szCs w:val="18"/>
        </w:rPr>
        <w:t xml:space="preserve">Slide type: Section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recap area. Plan — twenty-five to thirty percent of exam. Three chapters.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before-you-build phase. Chapters 2, 3, 4. Requirements analysis through ROI evaluation. Frameworks you'll be tested 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0C1426"/>
          <w:sz w:val="22"/>
          <w:szCs w:val="22"/>
        </w:rPr>
        <w:t xml:space="preserve">Plan Area — Frameworks &amp; Keywords</w:t>
      </w:r>
    </w:p>
    <w:p>
      <w:pPr>
        <w:spacing w:after="80" w:before="60"/>
      </w:pPr>
      <w:r>
        <w:rPr>
          <w:rFonts w:ascii="Calibri" w:cs="Calibri" w:eastAsia="Calibri" w:hAnsi="Calibri"/>
          <w:i/>
          <w:iCs/>
          <w:color w:val="475569"/>
          <w:sz w:val="18"/>
          <w:szCs w:val="18"/>
        </w:rPr>
        <w:t xml:space="preserve">Slide type: Plan area recap with 3 chapter cards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Plan area recap. Three chapters. Each card has the key frameworks and the exam keywords to recognize. If a question mentions any keyword, you should immediately know which framework applies.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2 — Three pillars of AI fit. Five grounding dimensions. Azure data estate Bronze-Silver-Gold. Keywords are 'grounding', 'RAG', 'data quality', 'accuracy/relevance/timeliness'.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3 — CAF for AI five phases. Five orchestration patterns. SaaS-first decision tree. Constraint pyramid. Keywords are 'multi-agent', 'orchestration', 'prebuilt vs custom', 'extend M365 Copilot', 'AI Center of Excellence'.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4 — Six-step ROI framework. TCO components. Build-Buy-Extend matrix. Model Router. Keywords are 'ROI', 'TCO', 'build vs buy', 'model router', 'tiered models'.</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Quick pulse check: </w:t>
      </w:r>
      <w:r>
        <w:rPr>
          <w:rFonts w:ascii="Calibri" w:cs="Calibri" w:eastAsia="Calibri" w:hAnsi="Calibri"/>
          <w:color w:val="0F172A"/>
          <w:sz w:val="20"/>
          <w:szCs w:val="20"/>
        </w:rPr>
        <w:t xml:space="preserve">Ask: 'Five grounding dimensions — what are they?' Then 'Five orchestration patterns?' Listen for the patterns they're shaky on. That's where to focus their post-class study.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0C1426"/>
          <w:sz w:val="22"/>
          <w:szCs w:val="22"/>
        </w:rPr>
        <w:t xml:space="preserve">Section Divider — Design Area Recap</w:t>
      </w:r>
    </w:p>
    <w:p>
      <w:pPr>
        <w:spacing w:after="80" w:before="60"/>
      </w:pPr>
      <w:r>
        <w:rPr>
          <w:rFonts w:ascii="Calibri" w:cs="Calibri" w:eastAsia="Calibri" w:hAnsi="Calibri"/>
          <w:i/>
          <w:iCs/>
          <w:color w:val="475569"/>
          <w:sz w:val="18"/>
          <w:szCs w:val="18"/>
        </w:rPr>
        <w:t xml:space="preserve">Slide type: Section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area. Design — twenty-five to thirty percent. Chapters 5, 6, 7.</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component design phase. AI and agent design, extensibility, prebuilt orchestration. What to build with which Microsoft tool.</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0C1426"/>
          <w:sz w:val="22"/>
          <w:szCs w:val="22"/>
        </w:rPr>
        <w:t xml:space="preserve">Design Area — Frameworks &amp; Keywords</w:t>
      </w:r>
    </w:p>
    <w:p>
      <w:pPr>
        <w:spacing w:after="80" w:before="60"/>
      </w:pPr>
      <w:r>
        <w:rPr>
          <w:rFonts w:ascii="Calibri" w:cs="Calibri" w:eastAsia="Calibri" w:hAnsi="Calibri"/>
          <w:i/>
          <w:iCs/>
          <w:color w:val="475569"/>
          <w:sz w:val="18"/>
          <w:szCs w:val="18"/>
        </w:rPr>
        <w:t xml:space="preserve">Slide type: Design area recap with 3 chapter cards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Design area recap. Three chapters. Chapter 5 is the heaviest in this area — six RAI tenets, three agent types, the Copilot Studio paths. Memorize the decision triggers.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5 — Three agent types: task, autonomous, prompt-response. Three Copilot Studio paths: NLU, CLU, Generative. Six RAI tenets. Power Platform Well-Architected Framework. Keywords are 'task agent', 'autonomous', 'fallback', 'topics', 'generative orchestration'.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6 — When custom Foundry. MCP — Model Context Protocol. Computer Use. M365 Copilot extensibility paths. Keywords are 'MCP', 'A2A', 'Computer Use', 'voice mode', 'reasoning', 'declarative 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7 — D365 Copilot patterns. M365 prebuilt agents catalog. Knowledge source order: Configure → Add KB → Custom action → Custom agent. Power Platform AI Hub. Keywords are 'prebuilt agent', 'AI hub', 'interoperability', 'knowledge sources'.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0C1426"/>
          <w:sz w:val="22"/>
          <w:szCs w:val="22"/>
        </w:rPr>
        <w:t xml:space="preserve">Section Divider — Deploy Area Recap</w:t>
      </w:r>
    </w:p>
    <w:p>
      <w:pPr>
        <w:spacing w:after="80" w:before="60"/>
      </w:pPr>
      <w:r>
        <w:rPr>
          <w:rFonts w:ascii="Calibri" w:cs="Calibri" w:eastAsia="Calibri" w:hAnsi="Calibri"/>
          <w:i/>
          <w:iCs/>
          <w:color w:val="475569"/>
          <w:sz w:val="18"/>
          <w:szCs w:val="18"/>
        </w:rPr>
        <w:t xml:space="preserve">Slide type: Section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area — and the largest. Deploy — forty to forty-five percent. Nearly half the exam.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chapters. The most critical area. Chapters 8 through 11. Monitor, test, ALM, govern.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0C1426"/>
          <w:sz w:val="22"/>
          <w:szCs w:val="22"/>
        </w:rPr>
        <w:t xml:space="preserve">Deploy Area — Frameworks &amp; Keywords</w:t>
      </w:r>
    </w:p>
    <w:p>
      <w:pPr>
        <w:spacing w:after="80" w:before="60"/>
      </w:pPr>
      <w:r>
        <w:rPr>
          <w:rFonts w:ascii="Calibri" w:cs="Calibri" w:eastAsia="Calibri" w:hAnsi="Calibri"/>
          <w:i/>
          <w:iCs/>
          <w:color w:val="475569"/>
          <w:sz w:val="18"/>
          <w:szCs w:val="18"/>
        </w:rPr>
        <w:t xml:space="preserve">Slide type: Deploy area recap with 4 chapter cards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Deploy area recap. Four chapters. The biggest exam weight. Most architects skip this in real projects and pay for it later — the exam doesn't let you skip it.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8 — Five monitoring dimensions: quality, performance, cost, safety, adoption. Six-step diagnostic. Gold metric is task completion rate. Keywords are 'task completion', 'telemetry', 'feedback backlog', 'drift detection'.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9 — Four testing types. Validation thresholds — standard 90/85/80, regulated 95/90/85. Prompt validation lifecycle. Keywords are 'validation criteria', 'prompt best practices', 'E2E test', 'Copilot for test cases'.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10 — Six ALM artifacts: solution, code, prompt, model, data, knowledge. Four-tier environments: Dev, Test, PreProd, Prod. Seven-phase data lifecycle A through G. Promotion gate matrix. Keywords are 'solutions', 'managed environment', 'promotion gates', 'data lifecycle'.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11 — Four-layer defense: identity, data, observability, threat. Five vulnerability categories: prompt manipulation, model behavior, data exposure, identity gaps, agent workflow. Five-step incident response. Keywords are 'least privilege', 'managed identity', 'DLP', 'residency', 'audit trail', 'prompt injection'.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0C1426"/>
          <w:sz w:val="22"/>
          <w:szCs w:val="22"/>
        </w:rPr>
        <w:t xml:space="preserve">Five Cross-Cutting Frameworks</w:t>
      </w:r>
    </w:p>
    <w:p>
      <w:pPr>
        <w:spacing w:after="80" w:before="60"/>
      </w:pPr>
      <w:r>
        <w:rPr>
          <w:rFonts w:ascii="Calibri" w:cs="Calibri" w:eastAsia="Calibri" w:hAnsi="Calibri"/>
          <w:i/>
          <w:iCs/>
          <w:color w:val="475569"/>
          <w:sz w:val="18"/>
          <w:szCs w:val="18"/>
        </w:rPr>
        <w:t xml:space="preserve">Slide type: 5 framework cards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five cross-cutting frameworks. These appear across multiple chapters and the exam loves them. If you only memorize five things from this course, memorize these.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0C1426"/>
          <w:sz w:val="16"/>
          <w:szCs w:val="16"/>
        </w:rPr>
        <w:t xml:space="preserve">Framework 1 — 5-Phase Architect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Framework 1. The 5-phase architect framework from Chapter 1. Plan, Design, Build, Deploy, Operate. Every architectural exercise maps here. If a question asks 'what comes next' or 'where in the lifecycle', this is the structure.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0C1426"/>
          <w:sz w:val="16"/>
          <w:szCs w:val="16"/>
        </w:rPr>
        <w:t xml:space="preserve">Framework 2 — Build/Buy/Extend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Framework 2. Build/Buy/Extend matrix from Chapter 4. Three dimensions — strategic value, differentiation potential, time to value. Plus internal capability and TCO. The ROI question's structural answer.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0C1426"/>
          <w:sz w:val="16"/>
          <w:szCs w:val="16"/>
        </w:rPr>
        <w:t xml:space="preserve">Framework 3 — SaaS-First Decision Tree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Framework 3. SaaS-first decision tree from Chapter 3. The most reused decision pattern in the entire course. M365 Copilot first. Then Studio. Then Foundry tools. Then custom Foundry models. Build from scratch only when nothing else fits.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0C1426"/>
          <w:sz w:val="16"/>
          <w:szCs w:val="16"/>
        </w:rPr>
        <w:t xml:space="preserve">Framework 4 — 4-Layer Defense in Depth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Framework 4. The 4-layer defense in depth from Chapter 11. Identity and access. Data governance. Observability and cost. Threat protection. The governance question's structural answer.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0C1426"/>
          <w:sz w:val="16"/>
          <w:szCs w:val="16"/>
        </w:rPr>
        <w:t xml:space="preserve">Framework 5 — 7-Phase Data Lifecycle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Framework 5. The 7-phase data lifecycle from Chapter 10. A through G. Acquire, Bronze, Silver, Gold, Curate, Index, Govern. Every data ALM question maps here.</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Memorization tip: </w:t>
      </w:r>
      <w:r>
        <w:rPr>
          <w:rFonts w:ascii="Calibri" w:cs="Calibri" w:eastAsia="Calibri" w:hAnsi="Calibri"/>
          <w:color w:val="0F172A"/>
          <w:sz w:val="20"/>
          <w:szCs w:val="20"/>
        </w:rPr>
        <w:t xml:space="preserve">These five frameworks together answer about 60-70% of AB-100 questions structurally. Even when learners don't know the exact details, recognizing 'this is a Build/Buy/Extend question' or 'this is a defense-in-depth question' gets them to the right answer 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0C1426"/>
          <w:sz w:val="22"/>
          <w:szCs w:val="22"/>
        </w:rPr>
        <w:t xml:space="preserve">Architect Mental Models — Rules of Thumb</w:t>
      </w:r>
    </w:p>
    <w:p>
      <w:pPr>
        <w:spacing w:after="80" w:before="60"/>
      </w:pPr>
      <w:r>
        <w:rPr>
          <w:rFonts w:ascii="Calibri" w:cs="Calibri" w:eastAsia="Calibri" w:hAnsi="Calibri"/>
          <w:i/>
          <w:iCs/>
          <w:color w:val="475569"/>
          <w:sz w:val="18"/>
          <w:szCs w:val="18"/>
        </w:rPr>
        <w:t xml:space="preserve">Slide type: 6 rule cards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architect mental models. Rules of thumb for exam day. When you can't remember the framework, fall back to these.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0C1426"/>
          <w:sz w:val="16"/>
          <w:szCs w:val="16"/>
        </w:rPr>
        <w:t xml:space="preserve">Rule 1 — SaaS-first, custom-last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Rule 1. SaaS first, custom last. Always prefer prebuilt. If the question offers a prebuilt option that fits, that's usually the answer. Custom is last resort, not first.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0C1426"/>
          <w:sz w:val="16"/>
          <w:szCs w:val="16"/>
        </w:rPr>
        <w:t xml:space="preserve">Rule 2 — Least privilege wins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Rule 2. Least privilege wins. Any answer that grants 'narrowest scope' or 'managed identity' over 'broad access' is almost always correct.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0C1426"/>
          <w:sz w:val="16"/>
          <w:szCs w:val="16"/>
        </w:rPr>
        <w:t xml:space="preserve">Rule 3 — Layered controls beat single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Rule 3. Layered controls beat single. If an option proposes one control to solve the security problem, it's wrong. Microsoft's exam favors layered controls.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0C1426"/>
          <w:sz w:val="16"/>
          <w:szCs w:val="16"/>
        </w:rPr>
        <w:t xml:space="preserve">Rule 4 — Match rigor to risk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Rule 4. Match rigor to risk. Don't apply healthcare-grade validation to a sales chatbot. Match the controls to the regulatory class. Both gold-plated and under-rigorous answers exist on the exam.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0C1426"/>
          <w:sz w:val="16"/>
          <w:szCs w:val="16"/>
        </w:rPr>
        <w:t xml:space="preserve">Rule 5 — Audit metadata, not content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Rule 5. Capture metadata, not content. For audit trails. Logging the prompt content is a leak vector. Logging that a prompt happened, who, when, what model — that's auditable without exposure.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0C1426"/>
          <w:sz w:val="16"/>
          <w:szCs w:val="16"/>
        </w:rPr>
        <w:t xml:space="preserve">Rule 6 — Bias toward disable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Rule 6. Bias toward disable. When in doubt during incident response, disable the agent. Patient safety, customer safety, business continuity — disable first, investigate second. The exam rewards safety over operational continuity.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0C1426"/>
          <w:sz w:val="22"/>
          <w:szCs w:val="22"/>
        </w:rPr>
        <w:t xml:space="preserve">Common Exam Pitfalls</w:t>
      </w:r>
    </w:p>
    <w:p>
      <w:pPr>
        <w:spacing w:after="80" w:before="60"/>
      </w:pPr>
      <w:r>
        <w:rPr>
          <w:rFonts w:ascii="Calibri" w:cs="Calibri" w:eastAsia="Calibri" w:hAnsi="Calibri"/>
          <w:i/>
          <w:iCs/>
          <w:color w:val="475569"/>
          <w:sz w:val="18"/>
          <w:szCs w:val="18"/>
        </w:rPr>
        <w:t xml:space="preserve">Slide type: 6 pitfall callouts on navy panel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Common exam pitfalls. Things students commonly get wrong. Each one is a trap — recognize the pattern and you'll save yourself the wrong answer.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0C1426"/>
          <w:sz w:val="16"/>
          <w:szCs w:val="16"/>
        </w:rPr>
        <w:t xml:space="preserve">Pitfall 1 — Over-privileged role assignments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Pitfall 1. Over-privileged role assignments. If an answer offers Owner at subscription scope or Contributor at resource group, it's almost always wrong. The right answer scopes tightly — usually the resource scope itself.</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0C1426"/>
          <w:sz w:val="16"/>
          <w:szCs w:val="16"/>
        </w:rPr>
        <w:t xml:space="preserve">Pitfall 2 — Reaching for custom too early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Pitfall 2. Reaching for custom too early. If the requirements describe a standard scenario and a prebuilt agent or D365 Copilot pattern exists for it, the answer is the prebuilt option. Don't get distracted by 'building from scratch in Foundry'.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0C1426"/>
          <w:sz w:val="16"/>
          <w:szCs w:val="16"/>
        </w:rPr>
        <w:t xml:space="preserve">Pitfall 3 — Single-layer security answers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Pitfall 3. Single-layer security answers. If a question is about securing AI and an option says 'use only DLP' or 'use only MFA', it's wrong. Defense in depth means multiple layers — identity plus data plus observability plus threat.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0C1426"/>
          <w:sz w:val="16"/>
          <w:szCs w:val="16"/>
        </w:rPr>
        <w:t xml:space="preserve">Pitfall 4 — Performance over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Pitfall 4. Performance over compliance. A few questions will tempt you with cross-region routing for performance. If the data is regulated, residency wins. Don't optimize away the law.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0C1426"/>
          <w:sz w:val="16"/>
          <w:szCs w:val="16"/>
        </w:rPr>
        <w:t xml:space="preserve">Pitfall 5 — Bigger model = better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Pitfall 5. Bigger isn't always better. SLMs and model routers exist for a reason. If a question rewards 'the most capable model', look for the model router answer instead.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0C1426"/>
          <w:sz w:val="16"/>
          <w:szCs w:val="16"/>
        </w:rPr>
        <w:t xml:space="preserve">Pitfall 6 — Fully autonomous answers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Pitfall 6. Skipping the human. Autonomous agents that take action without approval are dangerous. If an answer removes human oversight from a sensitive workflow, it's almost always wrong. Approval workflows beat 'let the agent decide' for regulated tasks.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0C1426"/>
          <w:sz w:val="22"/>
          <w:szCs w:val="22"/>
        </w:rPr>
        <w:t xml:space="preserve">Mock Exam Question — Healthcare Scenario</w:t>
      </w:r>
    </w:p>
    <w:p>
      <w:pPr>
        <w:spacing w:after="80" w:before="60"/>
      </w:pPr>
      <w:r>
        <w:rPr>
          <w:rFonts w:ascii="Calibri" w:cs="Calibri" w:eastAsia="Calibri" w:hAnsi="Calibri"/>
          <w:i/>
          <w:iCs/>
          <w:color w:val="475569"/>
          <w:sz w:val="18"/>
          <w:szCs w:val="18"/>
        </w:rPr>
        <w:t xml:space="preserve">Slide type: AB-100 style scenario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mock exam question. Course-style. Read carefully — the right answer applies multiple frameworks at once. This is what AB-100 questions look like.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 regulated healthcare org needs an AI agent to triage patient inquiries. They have a prebuilt D365 Customer Service AI Agent option, plus the choice of building custom in Foundry. Patient data is HIPAA-regulated and must stay in-region. What's the architect's best recommendation?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Apply your frameworks.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use the prebuilt D365 Customer Service AI Agent, configure with managed identities, DLP policies, sensitivity labels, and region-locked environments, plus add human approval for non-routine responses.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frameworks point to this answer. One — SaaS-first. The D365 prebuilt fits the standard customer-service scenario. Building custom violates SaaS-first when prebuilt fits. Two — match rigor to risk. Extending the prebuilt with HIPAA-grade controls gives the right rigor without gold-plating. Three — defense in depth. Managed identity plus DLP plus sensitivity labels plus residency configuration creates the layered controls HIPAA expects.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Why are the others wrong? Option A reaches for custom too early — when prebuilt fits, custom is wrong. Option C is a single-layer security answer — only tenant-level DLP isn't enough for HIPAA. Option D removes human oversight from a regulated patient workflow — high-risk and almost always wrong on AB-100.</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Coaching note: </w:t>
      </w:r>
      <w:r>
        <w:rPr>
          <w:rFonts w:ascii="Calibri" w:cs="Calibri" w:eastAsia="Calibri" w:hAnsi="Calibri"/>
          <w:color w:val="0F172A"/>
          <w:sz w:val="20"/>
          <w:szCs w:val="20"/>
        </w:rPr>
        <w:t xml:space="preserve">If the room got this right, congratulate them — they're thinking like architects. If they got it wrong, ask them which framework they applied. Often the wrong answer comes from applying only ONE framework instead of combining several. Production AI architecture is multi-framework — and so is this exam.</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0C1426"/>
          <w:sz w:val="22"/>
          <w:szCs w:val="22"/>
        </w:rPr>
        <w:t xml:space="preserve">Beyond AB-100 — Career Paths</w:t>
      </w:r>
    </w:p>
    <w:p>
      <w:pPr>
        <w:spacing w:after="80" w:before="60"/>
      </w:pPr>
      <w:r>
        <w:rPr>
          <w:rFonts w:ascii="Calibri" w:cs="Calibri" w:eastAsia="Calibri" w:hAnsi="Calibri"/>
          <w:i/>
          <w:iCs/>
          <w:color w:val="475569"/>
          <w:sz w:val="18"/>
          <w:szCs w:val="18"/>
        </w:rPr>
        <w:t xml:space="preserve">Slide type: 3 career path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Beyond the AB-100 exam. Three career paths. Each builds on what you learned here. The certification is the start, not the end.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0C1426"/>
          <w:sz w:val="16"/>
          <w:szCs w:val="16"/>
        </w:rPr>
        <w:t xml:space="preserve">Path 1 — Practicing AI Architect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Path 1. Practicing AI Architect. Lead enterprise AI architecture engagements. Multi-agent solution design. Cross-platform integration. The natural day-1 outcome of this certification.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0C1426"/>
          <w:sz w:val="16"/>
          <w:szCs w:val="16"/>
        </w:rPr>
        <w:t xml:space="preserve">Path 2 — AI CoE Lead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Path 2. AI Center of Excellence Lead. From Chapter 3's AI CoE concept. Stand up the organization's AI governance. Drive adoption. Coach teams. The transformation leadership track.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0C1426"/>
          <w:sz w:val="16"/>
          <w:szCs w:val="16"/>
        </w:rPr>
        <w:t xml:space="preserve">Path 3 — Continued certification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Path 3. Continued certification. AB-100 is one part of an evolving Microsoft AI credential ecosystem. Foundry-deep, Copilot-deep, and security-deep specializations are emerging. Stay current — AI is moving fast. Microsoft Associate, Expert, and Specialty certifications expire annually but renew via free online assessments.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0C1426"/>
          <w:sz w:val="22"/>
          <w:szCs w:val="22"/>
        </w:rPr>
        <w:t xml:space="preserve">Course Complete</w:t>
      </w:r>
    </w:p>
    <w:p>
      <w:pPr>
        <w:spacing w:after="80" w:before="60"/>
      </w:pPr>
      <w:r>
        <w:rPr>
          <w:rFonts w:ascii="Calibri" w:cs="Calibri" w:eastAsia="Calibri" w:hAnsi="Calibri"/>
          <w:i/>
          <w:iCs/>
          <w:color w:val="475569"/>
          <w:sz w:val="18"/>
          <w:szCs w:val="18"/>
        </w:rPr>
        <w:t xml:space="preserve">Slide type: Course completion CTA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course is complete. AB-100 prepared. Architect-ready. Now go take the exam — and then go build something. Responsibly.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You have the architect's vocabulary. The five-phase framework. SaaS-first decision making. ROI analysis with TCO. Six RAI principles. Four-layer defense in depth. ALM discipline for non-deterministic systems. The full Microsoft AI stack from Copilot to Foundry. And the judgment to defend it all in front of an enterprise audit committee.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Twelve chapters. Two hundred fifty-six plus slides. Ten enterprise scenarios. The vocabulary, the frameworks, the judgment. From everyone at Gennoor Tech — thank you for trusting us with your learning journey. Train. Innovate. Build.</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Closing: </w:t>
      </w:r>
      <w:r>
        <w:rPr>
          <w:rFonts w:ascii="Calibri" w:cs="Calibri" w:eastAsia="Calibri" w:hAnsi="Calibri"/>
          <w:color w:val="0F172A"/>
          <w:sz w:val="20"/>
          <w:szCs w:val="20"/>
        </w:rPr>
        <w:t xml:space="preserve">End with the Gennoor tagline: Train · Innovate · Build. Provide exam booking guidance and pointers for follow-up questions during the exam prep window. Encourage one final pass through the mock exam before scheduling the real AB-100.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12  ·  Final Revision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12 Notes — Final Revision &amp; Exam Prep — Gennoor Tech</dc:title>
  <dc:creator>Gennoor Tech</dc:creator>
  <cp:lastModifiedBy>Un-named</cp:lastModifiedBy>
  <cp:revision>1</cp:revision>
  <dcterms:created xsi:type="dcterms:W3CDTF">2026-05-07T18:53:17.356Z</dcterms:created>
  <dcterms:modified xsi:type="dcterms:W3CDTF">2026-05-07T18:53:17.356Z</dcterms:modified>
</cp:coreProperties>
</file>

<file path=docProps/custom.xml><?xml version="1.0" encoding="utf-8"?>
<Properties xmlns="http://schemas.openxmlformats.org/officeDocument/2006/custom-properties" xmlns:vt="http://schemas.openxmlformats.org/officeDocument/2006/docPropsVTypes"/>
</file>