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Linear Algebra/Линейная алгебра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90, всего зач. ед.: 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Н.В. Богачев,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 чем этот курс? Линейная алгебра - это, грубо говоря, «линейная часть» геометрии конечномерных пространств. Он изучает векторные и аффинные пространства, линейные операторы и аффинные преобразования, а также евклидовы и эрмитовы структуры. Линейная алгебра имеет важные приложения в чистой математике, информатике, физике, технике и многих других областях. Однако сама по себе эта тема очень интересна. Его важная особенность - красивое сочетание алгебры и геометрии. Предположим, мы выполняем какое-то преобразование, такое как отражение или растяжение пространства. Как меняются геометрические объекты при этой трансформации? А что остается неизменным, т.е. каковы инварианты этого преобразования? Линейная алгебра дает ответы на эти и другие подобные вопросы.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Ваша итоговая оценка будет основана на результатах вашего теста, вашей домашней работе и заключительном письменном экзамене.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Теоретическая и практическая разработка основных разделов линейной алгебры и аналитической геометрии. Курс должен дать студентам представление о математической строгости доказательств. Особое внимание уделяется практическому применению методов линейной алгебры в различных математических и междисциплинарных задачах, возможности применения аппарата линейной алгебры к широкому кругу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приобретение студентами теоретических знаний и практических навыков в области векторной алгебры, матричной алгебры;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подготовка студентов к изучению дополнительных математических дисциплин;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приобретение навыков применения аналитических методов в физике и других естественных науках.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УК-1.1 Анализирует проблемную ситуацию как систему, выявляя ее составляющие и связи между ними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 Способен разрабатывать математические модели и проводить их анализ при решении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ОПК-3.3 Владеет аналитическими и вычислительными методами решения, задач, понимает и учитывает на практике границы применимости получаемых решений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ПК-1.1 Знает принципы построения научной работы, методы сбора и анализа полученного материала, способы аргументации; владеет навыками подготовки научных обзоров, публикаций, рефератов и библиографий по тематике проводимых исследований на русском и английском языке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понятия линейной алгебры: векторное пространство, линейные функции и операторы, билинейные формы, матрица, собственные значения и собственные значения; - основные понятия общей алгебры: группы, кольца, поля;</w:t>
              <w:br/>
              <w:t>
- идеи координатного метода в аналитической геометрии;</w:t>
              <w:br/>
              <w:t>
- ключевые теоремы линейной алгебры: теорема матричного ранга, теорема изоморфизма линейного пространства, теорема Жордана о нормальной форме, теорема Кронекера, теоремы о приведении квадратичной формы и пары форм к канонической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решать системы линейных алгебраических уравнений;</w:t>
              <w:br/>
              <w:t>
- выполнять замену координат для линейных и билинейных функций, линейных операторов;</w:t>
              <w:br/>
              <w:t>
- найти собственные значения и собственные векторы линейного оператора;</w:t>
              <w:br/>
              <w:t>
- привести к каноническому виду матрицы квадратичной формы и линейного оператора;</w:t>
              <w:br/>
              <w:t>
- решать основные задачи аналитической геометрии;</w:t>
              <w:br/>
              <w:t>
- доказать ключевые теоремы линейной и общей алгебры;</w:t>
              <w:br/>
              <w:t>
- использовать аппарат линейной алгебры для решения прикладных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общие понятия и определения, связанные с векторами: линейная независимость, базис, ориентация плоскости и пространства;</w:t>
              <w:br/>
              <w:t>
- ортогональная и аффинная классификация прямых и поверхностей второго порядка.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Векторные пространства. Линейная независимость. Основа. Размер. Линейные карты. Координаты.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Аффинные преобразования и движения.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Симметричные билинейные функции (формы). Квадратичные формы. Инерционный закон. Ортогональный базис для симметричных билинейных форм.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Линейные операторы. Собственные пространства.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Неевклидова геометрия: n-сфера.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90 час., 2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1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Векторные пространства. Линейная независимость. Основа. Размер. Линейные карты. Координаты.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Аффинные пространства. Аффинная оболочка. Евклидова аффинная геометрия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Аффинные преобразования и движения.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Билинейные функции (формы)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Симметричные билинейные функции (формы). Квадратичные формы. Инерционный закон. Ортогональный базис для симметричных билинейных форм.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Евклидово и эрмитово пространства. Матрицы Грама. Евклидовы аффинные пространства. Выпуклые множества и выпуклые многогранники. Теорема Минковского-Вейля.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Линейные операторы. Собственные пространства.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Диагонализация симметричных операторов. Полярное разложение.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Неевклидова геометрия: n-сфера.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Неевклидова геометрия: гиперболическое пространство Лобачевского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аудиторная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Линейная алгебра [Текст], учебник для вузов /В. А. Ильин, Э. Г. Позняк. М., ФИЗМАТЛИТ, 2014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Линейная алгебра и некоторые ее приложения [Текст] : учеб. пособие для вузов  / Л. И. Головина  .— 3-е изд., перераб. и доп. — М. : Наука, 1979 .— 392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Аналитическая геометрия и линейная алгебра [Текст] : учеб. пособие для вузов / А. Е. Умнов ; М-во образования и науки РФ, Моск. физ.-техн. ин-т (гос. ун-т .— 3-е изд., испр. и доп .— М. : МФТИ, 2011 .— 544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Не используются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Н.В. Богачев,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УК-1.1 Анализирует проблемную ситуацию как систему, выявляя ее составляющие и связи между ними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 Способен разрабатывать математические модели и проводить их анализ при решении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ОПК-3.3 Владеет аналитическими и вычислительными методами решения, задач, понимает и учитывает на практике границы применимости получаемых решений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ПК-1.1 Знает принципы построения научной работы, методы сбора и анализа полученного материала, способы аргументации; владеет навыками подготовки научных обзоров, публикаций, рефератов и библиографий по тематике проводимых исследований на русском и английском языке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«Linear Algebra/Линейная алгебра»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понятия линейной алгебры: векторное пространство, линейные функции и операторы, билинейные формы, матрица, собственные значения и собственные значения; - основные понятия общей алгебры: группы, кольца, поля;</w:t>
              <w:br/>
              <w:t>
- идеи координатного метода в аналитической геометрии;</w:t>
              <w:br/>
              <w:t>
- ключевые теоремы линейной алгебры: теорема матричного ранга, теорема изоморфизма линейного пространства, теорема Жордана о нормальной форме, теорема Кронекера, теоремы о приведении квадратичной формы и пары форм к канонической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решать системы линейных алгебраических уравнений;</w:t>
              <w:br/>
              <w:t>
- выполнять замену координат для линейных и билинейных функций, линейных операторов;</w:t>
              <w:br/>
              <w:t>
- найти собственные значения и собственные векторы линейного оператора;</w:t>
              <w:br/>
              <w:t>
- привести к каноническому виду матрицы квадратичной формы и линейного оператора;</w:t>
              <w:br/>
              <w:t>
- решать основные задачи аналитической геометрии;</w:t>
              <w:br/>
              <w:t>
- доказать ключевые теоремы линейной и общей алгебры;</w:t>
              <w:br/>
              <w:t>
- использовать аппарат линейной алгебры для решения прикладных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общие понятия и определения, связанные с векторами: линейная независимость, базис, ориентация плоскости и пространства;</w:t>
              <w:br/>
              <w:t>
- ортогональная и аффинная классификация прямых и поверхностей второго порядка.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заданий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	Найдите базис и размерность пространства многочленов p(x) степени 4, таких что p(5)=0.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	Докажите, что пространство непрерывных функций на отрезке [0,1] бесконечномерно.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	Докажите, что если многогранник является одновременно простым и симплициальным, то он либо симплекс, либо многоугольник.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	Докажите, что определитель целочисленной кососимметричной матрицы является квадратом целого числа.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Векторная алгебра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Векторы и действия на них. База, координаты векторов в базе. Операции сложения векторов и умножения их на числа в координатах. Линейно зависимые системы векторов. Общая декартова система координат, прямоугольная система. Скалярное произведение, его свойства, выражение в декартовой системе координат. Формулы для определения расстояния между двумя точками и угла между двумя направлениями. Ориентированные тройки векторов. Векторное произведение, его свойства и выражение в координатах. Смешанный продукт, его свойства, выражение в общей декартовой системе координат. Параллелограмм, ориентированный по площади. Ориентированный объем коробки. Условия коллинеарности и компланарности векторов. Изменение координат вектора при смене базиса.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Метод координат на плоскости и в пространстве.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Прямо в самолете. Векторное уравнение линии, уравнение линии в координатах. Различные формы уравнения прямой связаны с разными способами ее определения. Расстояние от точки до линии. Уравнение прямой в векторной и координатной форме. Различные формы плоского уравнения. Основные задачи на прямой и самолет в космосе.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Матрицы. Детерминанты. Ранг матрицы. Общая теория систем линейных уравнений. Метод Гаусса.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Сложение и умножение матриц. Обратная матрица. Определение и простейшие свойства определителей. Миноры, алгебраические сложения, разложение определителя на элементы строки и столбца. Решение системы линейных уравнений по правилу Крамера. Ранг матрицы. Матричная теорема ранга. Базисная малая теорема. Системы линейных уравнений. Теорема Кронекера-Капелли. Фундаментальная система решений и общее решение однородной системы линейных уравнений. Общее решение гетерогенной системы. Метод Гаусса.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Линейное пространство.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Определение линейного пространства. Основа, размерность. Теорема об изоморфизме. Компоненты вектора в основе, запись операций над векторами через компоненты. Изменение компонентов вектора при изменении базиса. Матрица перехода. Подпространства в линейном пространстве. Сумма и пересечение подпространств. Прямая сумма.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Линейные операторы.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Линейные операторы, их матрицы. Операции над линейными операторами, обратный линейный оператор. Изменение матрицы линейного оператора при изменении базиса. Собственные векторы и собственные значения линейных операторов. Инвариантные подпространства. Нахождение собственных векторов и собственных значений линейного оператора. Характеристическое уравнение. Линейная независимость собственных векторов, принадлежащих разным собственным значениям. Собственные пространства. Нормальная форма Джордана.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Квадратичные формы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Билинейные и квадратичные формы. Приведение квадратичной формы к канонической. Закон инерции квадратичных форм. Положительно определенные квадратичные формы, критерий Сильвестра.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Евклидово пространство. Эрмитово пространство, сопряженные операторы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Евклидово пространство. Эрмитовское пространство. Скалярное произведение. Матрица Грама. Ортогональный нормированный базис, процесс ортогонализации. Ортогональное дополнение подпространства. Ортогональные матрицы. Сопряженные операторы, их свойства. Самосопряженные операторы, свойства их собственных векторов и собственных значений. Существование ортонормированного базиса собственных векторов самосопряженного оператора. Полярное разложение линейного оператора в евклидовом пространстве. Псевдоевклидово пространство. Преобразования Лоренца.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Алгебра многочленов.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Свойства корней многочленов, формальная производная, корни многочленов с действительными коэффициентами, теория делимости в евклидовом кольце, многочлены с рациональными коэффициентами, симметричные многочлены.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Группы, кольца, поля.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группы, конечные группы, теорема Лагранжа, теорема Кэли. Абелевы группы, теорема о строении конечно порожденных абелевых групп. Концепция кольца, концепция поля. Поле отчислений, итоговые поля. Векторное пространство над произвольным полем, примеры.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Приложения линейной алгебры: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Численные методы решения системы линейных уравнений. Матрицы малого ранга, скелетная декомпозиция. Метод главных компонент, проекторов и метод наименьших квадратов. Марковские матрицы. Дифференциальные уравнения, матричная экспонента.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Тензоры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о тензорах. Векторы и ковекторы, тензорный ранг. Тензорное произведение, свертка. Тензор в пространстве с метрикой, повышающий и понижающий индекс. Примеры тензорных величин в физике.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Линии и поверхности второго порядка.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Теорема о приведении уравнения прямой второго порядка на плоскости к каноническому виду. Эллипс, гипербола и парабола. Теоремы о хитростях и директрисах. Асимптоты гиперболы. Касательная к эллипсу, гиперболе и параболе. Поворот поверхности. Эллипсоид, параболоиды, гиперболоиды. Канонические уравнения и внешний вид.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показал системность своих знаний по дисциплине, достаточных для дальнейшего изучения, а также умение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тестирования,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который не может продолжить учебу или начать профессиональную деятельность без дополнительной подготовки по рассматриваемой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 проведении дифференциального теста студенту дается не менее 60 минут на подготовку. Продолжительность опроса студента по дифференциальному тесту не должна превышать двух астрономических часов.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дифференциального теста студенты могут пользоваться программой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