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Computational and Complexity/Сложность вычислений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Contemporary Сombinatorics/Современная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45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15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90, всего зач. ед.: 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Этот курс предназначен для обеспечения теоретической основы информатики. Его также можно назвать «Философия вычислений» или «Основные концепции информатики». В отличие от курсов по математическим программам, он сосредоточен на понятиях и идеях, а не на подробных доказательствах. Основная цель - дать интуитивное представление о том, что является алгоритмической проблемой, какие проблемы можно решить в принципе, а какие проблемы можно решить эффективно.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дополнительных глав сложных расчетов.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студенты, осваивающие базовые знания (концепции, концепции, методы и модели) в области сложных вычислений;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приобретение теоретических знаний и практических навыков в области сложных вычислений;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консультирование и помощь студентам в проведении собственных теоретических исследований в области сложных вычислений.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теории сложных вычислений;</w:t>
              <w:br/>
              <w:t>
 современные задачи соответствующих разделов сложных расчетов;</w:t>
              <w:br/>
              <w:t>
 понятия, аксиомы, методы доказательства и доказательства основных теорем в разделах, входящих в основную часть цикла;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сложных расчетов.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 ЭК;</w:t>
              <w:br/>
              <w:t>
 оценивать правильность постановки задач;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в области сложных вычислений в устной и письменной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ЭК для их решения;</w:t>
              <w:br/>
              <w:t>
 предметный язык сложных вычислений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Что такое алгоритм? Модели вычислений. Вычислимые функции. Универсальные вычислимые функции. Вычислительные ресурсы.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Алгоритмически неразрешимые проблемы: проблема самоприменимости, проблема остановки, “busy beavers” и др.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Связи между вычислимостью и формальной арифметикой. Теорема Гёделя о неполноте.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Понятие полиномиальной сводимости (по Карпу). NP-трудность и NP-полнота. Теорема Кука-Левина и примеры NP полных задач из комбинаторики, логики, теории графов и др.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Вероятностные вычисления. Сложностные классы BPP, RP и coRP. Уменьшение ошибки. Вероятностные тесты простоты и равенства многочленов.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Сложность в среднем и основания криптографии. Односторонние функции и генераторы псевдослучайных чисел. Криптографические протоколы, их корректность и надёжность.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Вероятностно проверяемые доказательства и их связь с приближённым решением NP-трудных задач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90 час., 2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Что такое алгоритм? Модели вычислений. Вычислимые функции. Универсальные вычислимые функции. Вычислительные ресурсы.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Разрешимые и перечислимые множества. Несколько эквивалентных свойств и базовые свойства. Теорема Поста.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Алгоритмически неразрешимые проблемы: проблема самоприменимости, проблема остановки, “busy beavers” и др.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Понятие m-сводимости. Конструкция неперечислимого множества, дополнение к которому также неперечислимо (проблема тотальности)..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Связи между вычислимостью и формальной арифметикой. Теорема Гёделя о неполноте.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Вычисления с оракулом: концепция и её свойства. Релятивизация вычислимости. Недетерминированные вычисления. Сложностные классы P, NP, coNP. Проблема равенства P и NP.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Понятие полиномиальной сводимости (по Карпу). NP-трудность и NP-полнота. Теорема Кука-Левина и примеры NP полных задач из комбинаторики, логики, теории графов и др.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Пространственная сложность. Сложностные классы PSPACE, L и NL. Теоретико-игровая интерпретация PSPACE.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Вероятностные вычисления. Сложностные классы BPP, RP и coRP. Уменьшение ошибки. Вероятностные тесты простоты и равенства многочленов.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Интерактивные коммуникационные протоколы и системы доказательств. Сложностной класс IP: примеры и приложения.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Сложность в среднем и основания криптографии. Односторонние функции и генераторы псевдослучайных чисел. Криптографические протоколы, их корректность и надёжность.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Доказательства с нулевым разглашением. Свойства совершенно, статистически и вычислительно нулевого разглашения.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Вероятностно проверяемые доказательства и их связь с приближённым решением NP-трудных задач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Техники дерандомизации и псевдослучайные конструкции. Почему мы уверены, что вероятностные алгоритмы не расширяют вычислительную мощность (т. е. P=BPP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Введение в сложность вычислений [Текст] / В. Н. Крупский - М.Факториал Пресс,2006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Коммуникационная сложность [Текст] / А. А. Разборов ; пер. с англ. Ю. Л. Притыкина ; под ред. В. А. Клепцына, С. М. Львовского - М.МЦНМО,2012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Вычислительная математика и структура алгоритмов [Текст] : 10 лекций о том, почему трудно решать задачи на вычислительных системах параллельной архитектуры и что надо знать дополнительно, чтобы успешно преодолевать эти трудности : учебник для вузов / В. В. Воеводин ; Моск. гос. ун-т им. М. В. Ломоносова .— 2-е изд., стереотип. — М. : Изд-во Моск. ун-та, 2010 .— 168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использовать лекционные материалы.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Contemporary Сombinatorics/Современная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«Computational and Complexity/Сложность вычислений»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теории сложных вычислений;</w:t>
              <w:br/>
              <w:t>
 современные задачи соответствующих разделов сложных расчетов;</w:t>
              <w:br/>
              <w:t>
 понятия, аксиомы, методы доказательства и доказательства основных теорем в разделах, входящих в основную часть цикла;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сложных расчетов.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 ЭК;</w:t>
              <w:br/>
              <w:t>
 оценивать правильность постановки задач;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в области сложных вычислений в устной и письменной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ЭК для их решения;</w:t>
              <w:br/>
              <w:t>
 предметный язык сложных вычислений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Оценка за курс состоит из 3 домашних заданий (каждое дает 10% итоговой оценки), промежуточного (30%) и итогового теста (40%). Домашние задания содержат несколько проблем и представляют собой три основных блока: вычислимость, основы сложности и интерактивные протоколы. Промежуточный семестр содержит вычислимость и теорию NP-полноты, финальный тест содержит все темы, но с большим упором на вторую половину курса. Промежуточный и итоговый тесты могут содержать не только задачи, но и вопросы с несколькими вариантами ответов и некоторые теоретические вопросы: например, по определениям.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 задач домашнего задания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Пусть f: N → N - неубывающая функция, стремящаяся к бесконечности. Докажите, что существует неразрешимое множество A такое, что для всех k множество A∩ {0,1,…, k} состоит не более чем из f (k) элементов.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данное множество не перечислимо и не ко-перечислимо.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Докажите, что данный язык является PSPACE-полным.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Обеспечьте интерактивную систему проверки для данного языка.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Для данной головоломки постройте вычислительно протокол с нулевым разглашением, доказывающий, что равновесие существует. Этот протокол не должен использовать сводимость для какой-то другой проблемы.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Докажите, что для некоторого ρ приближенное решение данной оптимизационной задачи с фактором ρ является NP-трудным.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задач с множественным выбором из промежуточных и финальных экзаменов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Какие из следующих свойств означают, что множество перечислимо?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а. Разрешимость 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б. Бесконечность 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c. Конечность 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d. Перечислимость дополнения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е. Перечислимость некоторого подмножества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различных предположений сложности нарисуйте диаграмму Эйлера для следующих классов: coNP, BPP, PSPACE, L, IP.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Какие варианты определения не изменяют класс IP?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или обычные задачи из промежуточных и финальных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Предоставьте NP-полные языки A и B такие, что A∩B∈P.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 NP-полноту данного языка.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Пусть f: {0,1} ^ n → {0,1} ^ n - односторонняя функция, а g: {0,1} ^ n → {0,1} ^ n - полиномиально вычислимая функция. Докажите, что функция h: {0,1} ^ 2n → {0,1} ^ 2n, определенная формулой h (xy) = f (g (x)) y, также является односторонней.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Дерандомизируйте данный алгоритм аппроксимации, используя метод условных ожиданий.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Вычислительные модели: однопленочные и многоленточные машины Тьюринга. Тезис Тьюринга в сильной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Измерение времени работы алгоритма. Класс P и примеры задач из него.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Класс NP: два определения и их эквивалентность. Класс coNP. Полиномиальная сводимость Карпа и ее свойства. NP-сложные и NP-полные задачи. Теоремы об иерархии.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Теорема Люднера о существовании NP-промежуточных задач. Измерение зоны действия алгоритма. PSPACE класс. Теорема Савича. PSPACE-полные задачи.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Классы L, NL и coNL. NL-полнота. NL = coNL.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Вероятностные алгоритмы. Классы БПП и РП. Алгоритмы вероятностной проверки простоты. Интерактивное свидетельство и класс IP.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Интерактивные доказательства с обычными случайными битами и классом AM.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IP = PSPACE.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Основные понятия криптографии: односторонние функции и псевдослучайные генераторы.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Доказательства с нулевым разглашением.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Приближенное определение оптимума: полиномиальные алгоритмы для отдельных задач и теорема PCP.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Введение в теорию колмогоровской сложности.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13. Введение в теорию квантовых вычислений.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показал системность своих знаний по дисциплине, достаточных для дальнейшего изучения, а также умение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тестирования,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который не может продолжить учебу или начать профессиональную деятельность без дополнительной подготовки по рассматриваемой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