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643"/>
        <w:gridCol w:w="2349"/>
        <w:gridCol w:w="1772"/>
        <w:gridCol w:w="1076"/>
        <w:gridCol w:w="1404"/>
        <w:gridCol w:w="1129"/>
        <w:gridCol w:w="630"/>
        <w:gridCol w:w="315"/>
        <w:gridCol w:w="315"/>
        <w:gridCol w:w="1063"/>
        <w:gridCol w:w="945"/>
      </w:tblGrid>
      <w:tr>
        <w:trPr>
          <w:trHeight w:val="60" w:hRule="atLeast"/>
        </w:trPr>
        <w:tc>
          <w:tcPr>
            <w:tcW w:w="10696" w:type="dxa"/>
            <w:vMerge w:val="restart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Федеральное государственное автономное образовательное </w:t>
              <w:br/>
              <w:t>
учреждение высшего образования </w:t>
              <w:br/>
              <w:t>
«Московский физико-технический институт </w:t>
              <w:br/>
              <w:t>
(национальный исследовательский университет)»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84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УТВЕРЖДЕНО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restart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Директор физтех-школы прикладной математики и информатики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continue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А.М. Райгородский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Рабочая программа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дисциплине: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Game Theory/Теория игр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Advanced Combinatorics/Продвинутая комбинаторика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8649" w:type="dxa"/>
            <w:gridSpan w:val="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2 (весенний) - Экзамен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Аудиторных часов: 75 всего, в том числе: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семинары: 45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лабораторные занятия: 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Самостоятельная работа: 75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Подготовка к экзамену: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Всего часов: 180, всего зач. ед.: 4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Программу составил: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Д.В. Мусатов, канд. физ.-мат. наук, доцент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8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1641" w:type="dxa"/>
            <w:gridSpan w:val="11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Программа обсуждена на заседании кафедры дискретной математики 05.03.2020</w:t>
            </w: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15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890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Аннотация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Курс предназначен для студентов второго курса магистратуры. В нем представлены основные концепции теории игр, особенно статические, динамические и кооперативные игры, а также различные понятия равновесия в этих рамках. Также включены несколько специальных тем.</w:t>
            </w: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Цели и задачи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Цель дисциплины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Познакомить студентов с основными понятиями и результатами теории некооперативных и кооперативных игр. Центральное место в курсе занимает концепция равновесия по Нэшу, последовательного равновесия, а также концепция ядра в кооперативных играх с побочными выплатами.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Задачи дисциплины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• студенты овладевают базовыми знаниями (понятиями, концепциями, методами и моделями) по теории игр;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• приобретение теоретических знаний и практических навыков по теории игр;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• консультирование и помощь студентам в проведении собственных теоретических исследований по теории игр.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Перечень формируемых компетенций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Освоение дисциплины направлено на формирование следующих компетенций: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УК-6.1 Умеет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ОПК-1.1 Знает и способен использовать в профессиональной деятельности фундаментальные научные знания и новые научные принципы и методы исследований в области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ОПК-1.2 Способен обобщать и критически оценивать опыт и результаты научных исследований в области профессиональной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ОПК-3 Способен разрабатывать математические модели и проводить их анализ при решении задач в области профессиональной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ОПК-3.4 Способен самостоятельно приобретать, развивать и применять математические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ОПК-3.1 Умеет анализировать задачу, планировать пути решения, предлагать и комбинировать способы решения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ПК-2.3 Умеет применять полученные знания в области фундаментальных научных основ теории информации и решать стандартные задачи в собственной научно-исследовательской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планируемых результатов обучения по дисциплине (модулю)</w:t>
            </w: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освоения дисциплины обучающиеся должны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фундаментальные понятия, законы, теория игр;</w:t>
              <w:br/>
              <w:t>
 современные проблемы соответствующих разделов теории игр;</w:t>
              <w:br/>
              <w:t>
 понятия, аксиомы, методы доказательства и доказательства основных теорем в разделах, входящих в основную часть цикла теории игр;</w:t>
              <w:br/>
              <w:t>
 основные свойства соответствующих математических объектов;</w:t>
              <w:br/>
              <w:t>
 аналитические и численные подходы и методы решения типовых прикладных задач теории игр.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понять задачу;</w:t>
              <w:br/>
              <w:t>
 использовать свои знания для решения фундаментальных и прикладных задач;</w:t>
              <w:br/>
              <w:t>
 оценить правильность постановки задачи;</w:t>
              <w:br/>
              <w:t>
 строго доказывать или опровергать заявление;</w:t>
              <w:br/>
              <w:t>
 самостоятельно находить алгоритмы решения проблем, в том числе нестандартных, и проводить их анализ;</w:t>
              <w:br/>
              <w:t>
 самостоятельно видеть последствия результатов;</w:t>
              <w:br/>
              <w:t>
 точно представлять математические знания по топологии устно и письменно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навыки усвоения большого количества информации и решения задач (в том числе сложных);</w:t>
              <w:br/>
              <w:t>
 навыки самостоятельной работы и освоения новых дисциплин;</w:t>
              <w:br/>
              <w:t>
 культура постановки, анализа и решения математических и прикладных задач, требующих использования математических подходов и методов их решения;</w:t>
              <w:br/>
              <w:t>
 предметный язык топологии и навыки грамотного описания решения задач и представления результатов.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4.1. Разделы дисциплины (модуля) и трудоемкости по видам учебных занятий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№</w:t>
            </w:r>
          </w:p>
        </w:tc>
        <w:tc>
          <w:tcPr>
            <w:tcW w:w="4121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Тема (раздел) дисциплины</w:t>
            </w:r>
          </w:p>
        </w:tc>
        <w:tc>
          <w:tcPr>
            <w:tcW w:w="5932" w:type="dxa"/>
            <w:gridSpan w:val="7"/>
            <w:tcBorders>
              <w:top w:val="single" w:sz="10" w:space="0" w:color="auto"/>
              <w:left w:val="single" w:sz="5" w:space="0" w:color="auto"/>
              <w:bottom w:val="non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Трудоемкость по видам учебных занятий, включая самостоятельную работу,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</w:t>
            </w:r>
          </w:p>
        </w:tc>
        <w:tc>
          <w:tcPr>
            <w:tcW w:w="1404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  <w:r>
              <w:rPr>
                <w:rFonts w:ascii="Times New Roman" w:hAnsi="Times New Roman"/>
                <w:sz w:val="22"/>
                <w:szCs w:val="22"/>
                <w:color w:val="000000"/>
              </w:rPr>
              <w:t>Семинары</w:t>
            </w:r>
          </w:p>
        </w:tc>
        <w:tc>
          <w:tcPr>
            <w:tcW w:w="207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Лаборат. работы</w:t>
            </w:r>
          </w:p>
        </w:tc>
        <w:tc>
          <w:tcPr>
            <w:tcW w:w="1378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Самост. работа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57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</w:p>
        </w:tc>
        <w:tc>
          <w:tcPr>
            <w:tcW w:w="207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Что такое игра? Игры в нормальном виде. Матричные и биматричные игры.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Смешанные равновесия Нэша.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Динамичные игры с полной информацией, асимметричный корпус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Повторные игры.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Основы теории социального выбора.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2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Итого часов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45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7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Подготовка к экзамену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94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Общая трудоёмкость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180 час., 4 зач.ед.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4.2. </w:t>
            </w: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Содержание дисциплины (модуля), структурированное по темам (разделам)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Семестр: 2 (Весенний)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Что такое игра? Игры в нормальном виде. Матричные и биматричные игры.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Доминирование в статических играх. Чистое равновесие по Нэшу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Смешанные равновесия Нэша.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Алгоритмы нахождения равновесий по Нэшу. Динамические игры с полной информацией, симметричный регистр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Динамичные игры с полной информацией, асимметричный корпус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Динамические игры с неполной информацией. Сигнальные игры.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Повторные игры.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Кооперативные игры. Стабильные совпадения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Основы теории социального выбора.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Честное деление. Основы теории аукционов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5. Описание материально-технической базы, необходимой для осуществления образовательного процесса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Стандартная аудитория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6.Перечень рекомендуемой литературы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Основная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Лекции по теории игр и экономическому моделированию [Текст] : [учеб. пособие для вузов] / И. С. Меньшиков .— 2-е изд., испр. и доп. — М. : Контакт Плюс, 2010 .— 336 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Теория игр с примерами из математической экономики [Текст] : [учеб. пособие для вузов] / Э. Мулен ; пер. с фр. О. Р. Меньшиковой, И. С. Меньшикова под ред. Н. С. Кукушкина .— М. : Мир, 1985 .— 199 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Теория игр [Текст] : учеб. пособие для вузов : рек. М-вом общ. и проф. образования РФ / Л. А. Петросян, Н. А. Зенкевич, Е. А. Семина .— М. : Высшая школа, 1998 .— 304 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Дополнительная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Игры для развития системного мышления [Текст] / Л. Бут Свини, Д. Медоуз; пер. с англ. Е. С. Оганесян; под ред. Н. П. Тарасовойd - М.БИНОМ. Лаборатория знаний,2014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7. Перечень ресурсов информационно-телекоммуникационной сети "Интернет", необходимых для освоения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http://dm.fizteh.ru/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8.  Перечень информационных технологий, используемых при осуществлении образовательного процесса по дисциплине (модулю), включая перечень необходимого программного обеспечения и информационных справочных систем (при необходимости)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Мультимедийные технологии можно использовать на лекциях и практических занятиях, в том числе на презентациях.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9. Методические указания для обучающихся по освоению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63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Рекомендуется успешно сдать контрольные работы, так как это упрощает итоговую аттестацию по предмету.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Для подготовки к итоговой аттестации по предмету лучше всего использовать лекционные материалы.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ПРИЛОЖЕНИЕ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23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630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05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ОЦЕНОЧНЫЕ МАТЕРИАЛЫ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Advanced Combinatorics/Продвинутая комбинаторика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  <w:t>1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2 (весенний) - Экзамен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Разработчик: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Д.В. Мусатов, канд. физ.-мат. наук, доцент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Компетенции, формируемые в процессе изучения дисциплины</w:t>
              <w:br/>
              <w:t>
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УК-6.1 Умеет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ОПК-1.1 Знает и способен использовать в профессиональной деятельности фундаментальные научные знания и новые научные принципы и методы исследований в области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ОПК-1.2 Способен обобщать и критически оценивать опыт и результаты научных исследований в области профессиональной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ОПК-3 Способен разрабатывать математические модели и проводить их анализ при решении задач в области профессиональной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ОПК-3.4 Способен самостоятельно приобретать, развивать и применять математические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ОПК-3.1 Умеет анализировать задачу, планировать пути решения, предлагать и комбинировать способы решения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ПК-2.3 Умеет применять полученные знания в области фундаментальных научных основ теории информации и решать стандартные задачи в собственной научно-исследовательской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Показатели оценивания компетенций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изучения дисциплины «Game Theory/Теория игр» обучающийся должен: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фундаментальные понятия, законы, теория игр;</w:t>
              <w:br/>
              <w:t>
 современные проблемы соответствующих разделов теории игр;</w:t>
              <w:br/>
              <w:t>
 понятия, аксиомы, методы доказательства и доказательства основных теорем в разделах, входящих в основную часть цикла теории игр;</w:t>
              <w:br/>
              <w:t>
 основные свойства соответствующих математических объектов;</w:t>
              <w:br/>
              <w:t>
 аналитические и численные подходы и методы решения типовых прикладных задач теории игр.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понять задачу;</w:t>
              <w:br/>
              <w:t>
 использовать свои знания для решения фундаментальных и прикладных задач;</w:t>
              <w:br/>
              <w:t>
 оценить правильность постановки задачи;</w:t>
              <w:br/>
              <w:t>
 строго доказывать или опровергать заявление;</w:t>
              <w:br/>
              <w:t>
 самостоятельно находить алгоритмы решения проблем, в том числе нестандартных, и проводить их анализ;</w:t>
              <w:br/>
              <w:t>
 самостоятельно видеть последствия результатов;</w:t>
              <w:br/>
              <w:t>
 точно представлять математические знания по топологии устно и письменно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 навыки усвоения большого количества информации и решения задач (в том числе сложных);</w:t>
              <w:br/>
              <w:t>
 навыки самостоятельной работы и освоения новых дисциплин;</w:t>
              <w:br/>
              <w:t>
 культура постановки, анализа и решения математических и прикладных задач, требующих использования математических подходов и методов их решения;</w:t>
              <w:br/>
              <w:t>
 предметный язык топологии и навыки грамотного описания решения задач и представления результатов.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типовых (примерных) вопросов, заданий, тем для подготовки к текущему контролю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Оценка по курсу состоит из двух компонентов: домашнего задания и письменного экзамена (в случае онлайн-обучения он может быть заменен онлайн-тестом). В трех частях курса есть три домашних задания: статические игры, динамические игры и кооперативные игры. Каждое задание состоит из 7 задач, каждая задача дает 10 баллов. Сумма баллов делится на 5. Экзамен состоит из одной задачи, в которой нужно определить, верны ли данные утверждения, и трех задач, в которых необходимо записать решение. При решении экзаменов студенты могут использовать там конспекты и учебники.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Пример задач домашнего задания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Дана матрица статической игры. Последовательно исключите доминируемые стратегии, а затем решите оставшуюся игру 2 × N.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Найдите все равновесия в игре, похожей на камень-ножницы-бумагу, с заданным количеством фигур и правилами игры фигур, бьющих друг друга.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50 пиратов, упорядоченных по рангу, делят большое сокровище следующим образом. Капитан предлагает дивизию. Если хотя бы половина экипажа (включая капитана) согласна, применяется разделение. В противном случае капитана выбрасывают за борт, а пират, занимающий второе место, предлагает дивизию и так далее. Формализуйте ситуацию как динамическую игру и найдите идеальное равновесие по Нэшу в подигре.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Найдите ядро и значение Шепли в какой-нибудь совместной игре.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Найдите все стабильные совпадения на каком-либо соответствующем рынке.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Примеры истинных / ложных утверждений с экзамена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Определите, верны эти утверждения или нет. Правильный ответ дает +3 балла, неправильный ответ дает -3 балла, никакой ответ дает 0 баллов.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Если обе стратегии слабо доминируют, то они дают одинаковый результат при любом выборе стратегий других игроков.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В динамической игре с полной информацией любые две подыгры совершенных равновесий Нэша имеют одинаковые выплаты.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В сеттинге нарезки торта каждое незавидное деление также пропорционально.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Примеры или обычные задачи с экзамена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Рассмотрим следующую игру с одной кучей камней: каждый игрок может взять из кучи 3 или 5 камней (но не 1, 2 или 4). Игрок, который не может сделать ход (поскольку камней меньше 3), проигрывает.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а. Найдите количество выигрышных и проигрышных камней в куче, если их меньше 20.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б. Угадай закон и докажи его.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В какой-либо стране закон считается принятым, если за него проголосовало более половины членов парламента и его одобряет президент, или если за него проголосовало более 2/3 членов парламента. Парламент состоит из нескольких партий известного размера, все члены партии голосуют одинаково. Сформулируйте ситуацию как кооперативную игру и найдите суть и ценность Шепли.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 Перечень типовых (примерных) вопросов и тем для проведения промежуточной аттестации обучающихся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Вопросы к экзамену: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Определение игры в нормальной форме: стратегия, игрок, полезность. Равновесие по Нэшу в чистых стратегиях. Примеры. Дилемма заключенного. Игра «камень-ножницы-бумага».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Определение смешанной стратегии. Равновесие по Нэшу в смешанных стратегиях.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Теорема Брауэра. Лемма Спернера. Теорема Какутани. Теорема Нэша о существовании равновесия в смешанных стратегиях.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Доминирующие стратегии. Последовательное исключение сильно доминирующих стратегий. Минимакс и Максимин. Игры с нулевой суммой. Точка перевала.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Расширенная форма игры. Эквивалентность нормальной форме. Равновесия, совершаемые в под-играх. Примеры.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Слабое и сильное последовательные равновесия по Нэшу. Вера игроков.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 Введение в теорию кооперативных игр. Понятие равновесия. Понятие о ядре. Вектор Шепли.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8. Динамические игры. Конечные и бесконечные повторяющиеся игры. Бесконечная дилемма заключенного. Принцип однократного отклонения. Популярная теорема. Дуэли. Одновременные Truels.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Примеры экзаменационных билетов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Билет №1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Теорема Брауэра. Лемма Спернера. Теорема Какутани.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Понятие равновесия. Понятие о ядре. Вектор Шепли.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Билет №2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Определение смешанной стратегии. Равновесие по Нэшу в смешанных стратегиях.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Динамические игры. Конечные и бесконечные повторяющиеся игры.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8373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оценивания</w:t>
            </w: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(10)» выставляется студенту, который проявил всестороннее, систематическое и глубокое знание материала образовательной программы, самостоятельно выполнил все задачи, предусмотренные программой, глубоко изучил основную и дополнительную литературу, рекомендованную программой. , активно работает в классе и понимает основные научные концепции по изучаемой дисциплине, проявил творческий подход и научный подход в понимании и представлении материала образовательной программы, ответ на который характеризуется использованием богатых и адекватных терминов, а также последовательным и логичным изложение материала;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(9)» дается студенту, который продемонстрировал всестороннее систематическое знание материала образовательной программы, самостоятельно выполнил все задачи, предусмотренные программой, глубоко усвоил основную литературу и знаком с рекомендуемой дополнительной литературой. по программе, активно проработал на занятиях, показал системность знаний по дисциплине, достаточную для дальнейшего изучения, а также умение самостоятельно расширять ее, ответ которой отличается точностью используемых терминов, а изложение материала в нем последовательное и логичное;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(8)» выставляется студенту, который проявил полное знание материала образовательной программы, не допускает существенных неточностей в своем ответе, самостоятельно выполнил все задания, предусмотренные программой, изучил основную литературу, рекомендованную учебной программой. программа, активно проработанная на занятиях, показала системность его знаний по дисциплине, достаточных для дальнейшего изучения, а также способность самостоятельно их усиливать;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(7)» выставляется студенту, который проявил достаточно полное знание материала образовательной программы, не допускает существенных неточностей в ответе, самостоятельно выполнил все задания, предусмотренные программой, изучил основную рекомендованную литературу по программе, активно работал на занятиях, показал системность своих знаний по дисциплине, достаточных для дальнейшего изучения, а также умение самостоятельно их усиливать;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(6)» выставляется студенту, который проявил достаточно полное знание материала образовательной программы, не допускает существенных неточностей в своем ответе, самостоятельно выполнил основные задачи, предусмотренные программой, изучил основную литературу. рекомендован программой, показал систематичность своих знаний по дисциплине, достаточную для дальнейшего изучения;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(5)» дается студенту, продемонстрировавшему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овладел основными задачами, предусмотренными программой, освоил основную литературу, рекомендованную программой, допустил ошибки в их выполнении и ответе во время тестирования, но имеет необходимые знания для исправления этих ошибок самостоятельно;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(4)» дается студенту, обнаружившему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выполнил основные задачи, предусмотренные программой, изучил основную литературу, но допустил ошибки в их выполнении и в своем ответе во время тестирования, но имеет необходимые знания для исправления этих ошибок под руководством преподавателя;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(3)» выставляется обучающемуся, проявившему знание материала основной образовательной программы в объеме, необходимом для дальнейшего обучения и будущей работы по профессии, не проявившего активности на занятиях, самостоятельно выполнившего основные задания, предусмотренные законодательством. программа, но допускающая ошибки в их выполнении и в ответе при тестировании, но обладающая необходимыми знаниями для устранения под руководством преподавателя наиболее существенных ошибок;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(2)» дается студенту, который показал пробелы в знаниях или недостаток знаний по значительной части материала основной образовательной программы, не выполнил самостоятельно основные задачи, требуемые программой, допустил принципиальные ошибки в выполнение предусмотренных программой задач, который не может продолжить учебу или начать профессиональную деятельность без дополнительной подготовки по рассматриваемой дисциплине;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(1)» ставится студенту при отсутствии ответа (отказ от ответа) или когда представленный ответ не соответствует сути вопросов, содержащихся в задании.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 Методические материалы, определяющие процедуры оценивания знаний, умений, навыков и (или) опыта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Во время экзамена студенту разрешается использовать программу дисциплины.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sectPr>
      <w:pgSz w:w="11907" w:h="16839" w:orient="portrait"/>
      <w:pgMar w:top="283" w:right="567" w:bottom="283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